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481"/>
        <w:tblW w:w="978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544"/>
        <w:gridCol w:w="3269"/>
        <w:gridCol w:w="2968"/>
      </w:tblGrid>
      <w:tr w:rsidR="00F7508D" w:rsidRPr="00FE68C5" w14:paraId="4FD2DDB0" w14:textId="77777777" w:rsidTr="00946E1F">
        <w:trPr>
          <w:trHeight w:val="493"/>
        </w:trPr>
        <w:tc>
          <w:tcPr>
            <w:tcW w:w="3544" w:type="dxa"/>
            <w:tcBorders>
              <w:top w:val="nil"/>
              <w:left w:val="nil"/>
              <w:bottom w:val="nil"/>
              <w:right w:val="nil"/>
            </w:tcBorders>
            <w:tcMar>
              <w:top w:w="80" w:type="dxa"/>
              <w:left w:w="80" w:type="dxa"/>
              <w:bottom w:w="80" w:type="dxa"/>
              <w:right w:w="80" w:type="dxa"/>
            </w:tcMar>
            <w:vAlign w:val="center"/>
          </w:tcPr>
          <w:p w14:paraId="350C9DBC" w14:textId="77777777" w:rsidR="00F7508D" w:rsidRPr="00FE68C5" w:rsidRDefault="00F7508D" w:rsidP="00946E1F">
            <w:pPr>
              <w:keepNext/>
              <w:spacing w:after="0" w:line="240" w:lineRule="auto"/>
              <w:jc w:val="center"/>
              <w:outlineLvl w:val="3"/>
              <w:rPr>
                <w:rFonts w:ascii="Arial" w:eastAsia="Times New Roman" w:hAnsi="Arial" w:cs="Arial"/>
                <w:b/>
                <w:bCs/>
                <w:sz w:val="24"/>
                <w:szCs w:val="24"/>
                <w:lang w:val="en-GB"/>
              </w:rPr>
            </w:pPr>
            <w:r w:rsidRPr="00FE68C5">
              <w:rPr>
                <w:rFonts w:ascii="Arial" w:eastAsia="Times New Roman" w:hAnsi="Arial" w:cs="Arial"/>
                <w:b/>
                <w:bCs/>
                <w:sz w:val="24"/>
                <w:szCs w:val="24"/>
                <w:lang w:val="en-GB"/>
              </w:rPr>
              <w:t>AFRICAN UNION</w:t>
            </w:r>
          </w:p>
        </w:tc>
        <w:tc>
          <w:tcPr>
            <w:tcW w:w="3269" w:type="dxa"/>
            <w:vMerge w:val="restart"/>
            <w:tcBorders>
              <w:top w:val="nil"/>
              <w:left w:val="nil"/>
              <w:bottom w:val="nil"/>
              <w:right w:val="nil"/>
            </w:tcBorders>
            <w:tcMar>
              <w:top w:w="80" w:type="dxa"/>
              <w:left w:w="80" w:type="dxa"/>
              <w:bottom w:w="80" w:type="dxa"/>
              <w:right w:w="80" w:type="dxa"/>
            </w:tcMar>
            <w:vAlign w:val="center"/>
          </w:tcPr>
          <w:p w14:paraId="400BFC67" w14:textId="77777777" w:rsidR="00F7508D" w:rsidRPr="00FE68C5" w:rsidRDefault="00F7508D" w:rsidP="00946E1F">
            <w:pPr>
              <w:spacing w:after="0" w:line="240" w:lineRule="auto"/>
              <w:jc w:val="center"/>
              <w:rPr>
                <w:rFonts w:ascii="Arial" w:eastAsia="Arial Unicode MS" w:hAnsi="Arial" w:cs="Arial"/>
                <w:color w:val="000000"/>
                <w:sz w:val="24"/>
                <w:szCs w:val="24"/>
                <w:u w:color="000000"/>
                <w:lang w:val="en-GB"/>
              </w:rPr>
            </w:pPr>
            <w:r w:rsidRPr="00FE68C5">
              <w:rPr>
                <w:rFonts w:ascii="Arial" w:eastAsia="Arial" w:hAnsi="Arial" w:cs="Arial"/>
                <w:noProof/>
                <w:color w:val="000000"/>
                <w:sz w:val="24"/>
                <w:szCs w:val="24"/>
                <w:u w:color="000000"/>
                <w:lang w:val="en-GB"/>
              </w:rPr>
              <w:drawing>
                <wp:inline distT="0" distB="0" distL="0" distR="0" wp14:anchorId="52B47717" wp14:editId="7049952B">
                  <wp:extent cx="962025" cy="809625"/>
                  <wp:effectExtent l="0" t="0" r="9525" b="9525"/>
                  <wp:docPr id="2" name="Picture 2" descr="AU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U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62025" cy="809625"/>
                          </a:xfrm>
                          <a:prstGeom prst="rect">
                            <a:avLst/>
                          </a:prstGeom>
                          <a:noFill/>
                          <a:ln>
                            <a:noFill/>
                          </a:ln>
                        </pic:spPr>
                      </pic:pic>
                    </a:graphicData>
                  </a:graphic>
                </wp:inline>
              </w:drawing>
            </w:r>
          </w:p>
        </w:tc>
        <w:tc>
          <w:tcPr>
            <w:tcW w:w="2968" w:type="dxa"/>
            <w:tcBorders>
              <w:top w:val="nil"/>
              <w:left w:val="nil"/>
              <w:bottom w:val="nil"/>
              <w:right w:val="nil"/>
            </w:tcBorders>
            <w:tcMar>
              <w:top w:w="80" w:type="dxa"/>
              <w:left w:w="80" w:type="dxa"/>
              <w:bottom w:w="80" w:type="dxa"/>
              <w:right w:w="80" w:type="dxa"/>
            </w:tcMar>
            <w:vAlign w:val="center"/>
          </w:tcPr>
          <w:p w14:paraId="26DEE3B8" w14:textId="77777777" w:rsidR="00F7508D" w:rsidRPr="00FE68C5" w:rsidRDefault="00F7508D" w:rsidP="00946E1F">
            <w:pPr>
              <w:keepNext/>
              <w:spacing w:after="0" w:line="240" w:lineRule="auto"/>
              <w:ind w:right="270"/>
              <w:jc w:val="center"/>
              <w:outlineLvl w:val="3"/>
              <w:rPr>
                <w:rFonts w:ascii="Arial" w:eastAsia="Times New Roman" w:hAnsi="Arial" w:cs="Arial"/>
                <w:b/>
                <w:bCs/>
                <w:sz w:val="24"/>
                <w:szCs w:val="24"/>
                <w:lang w:val="en-GB"/>
              </w:rPr>
            </w:pPr>
            <w:r w:rsidRPr="00FE68C5">
              <w:rPr>
                <w:rFonts w:ascii="Arial" w:eastAsia="Times New Roman" w:hAnsi="Arial" w:cs="Arial"/>
                <w:b/>
                <w:bCs/>
                <w:sz w:val="24"/>
                <w:szCs w:val="24"/>
                <w:lang w:val="en-GB"/>
              </w:rPr>
              <w:t>UNION AFRICAINE</w:t>
            </w:r>
          </w:p>
        </w:tc>
      </w:tr>
      <w:tr w:rsidR="00F7508D" w:rsidRPr="00FE68C5" w14:paraId="48384C0D" w14:textId="77777777" w:rsidTr="00946E1F">
        <w:trPr>
          <w:trHeight w:val="542"/>
        </w:trPr>
        <w:tc>
          <w:tcPr>
            <w:tcW w:w="3544" w:type="dxa"/>
            <w:tcBorders>
              <w:top w:val="nil"/>
              <w:left w:val="nil"/>
              <w:bottom w:val="nil"/>
              <w:right w:val="nil"/>
            </w:tcBorders>
            <w:tcMar>
              <w:top w:w="80" w:type="dxa"/>
              <w:left w:w="80" w:type="dxa"/>
              <w:bottom w:w="80" w:type="dxa"/>
              <w:right w:w="80" w:type="dxa"/>
            </w:tcMar>
            <w:vAlign w:val="center"/>
          </w:tcPr>
          <w:p w14:paraId="678F8C97" w14:textId="77777777" w:rsidR="00F7508D" w:rsidRPr="00FE68C5" w:rsidRDefault="00F7508D" w:rsidP="00946E1F">
            <w:pPr>
              <w:spacing w:after="0" w:line="240" w:lineRule="auto"/>
              <w:jc w:val="center"/>
              <w:rPr>
                <w:rFonts w:ascii="Arial" w:eastAsia="Arial Unicode MS" w:hAnsi="Arial" w:cs="Arial"/>
                <w:color w:val="000000"/>
                <w:sz w:val="24"/>
                <w:szCs w:val="24"/>
                <w:u w:color="000000"/>
                <w:lang w:val="en-GB"/>
              </w:rPr>
            </w:pPr>
            <w:r w:rsidRPr="00FE68C5">
              <w:rPr>
                <w:rFonts w:ascii="Arial" w:eastAsia="Arial Unicode MS" w:hAnsi="Arial" w:cs="Arial"/>
                <w:noProof/>
                <w:color w:val="000000"/>
                <w:sz w:val="24"/>
                <w:szCs w:val="24"/>
                <w:u w:color="000000"/>
                <w:lang w:val="en-GB"/>
              </w:rPr>
              <w:drawing>
                <wp:inline distT="0" distB="0" distL="0" distR="0" wp14:anchorId="51EC89AE" wp14:editId="7A6ACA2C">
                  <wp:extent cx="990600" cy="333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990600" cy="333375"/>
                          </a:xfrm>
                          <a:prstGeom prst="rect">
                            <a:avLst/>
                          </a:prstGeom>
                          <a:noFill/>
                          <a:ln>
                            <a:noFill/>
                          </a:ln>
                        </pic:spPr>
                      </pic:pic>
                    </a:graphicData>
                  </a:graphic>
                </wp:inline>
              </w:drawing>
            </w:r>
          </w:p>
        </w:tc>
        <w:tc>
          <w:tcPr>
            <w:tcW w:w="3269" w:type="dxa"/>
            <w:vMerge/>
            <w:tcBorders>
              <w:top w:val="nil"/>
              <w:left w:val="nil"/>
              <w:right w:val="nil"/>
            </w:tcBorders>
          </w:tcPr>
          <w:p w14:paraId="09116D07" w14:textId="77777777" w:rsidR="00F7508D" w:rsidRPr="00FE68C5" w:rsidRDefault="00F7508D" w:rsidP="00946E1F">
            <w:pPr>
              <w:spacing w:after="0" w:line="240" w:lineRule="auto"/>
              <w:rPr>
                <w:rFonts w:ascii="Arial" w:eastAsia="Times New Roman" w:hAnsi="Arial" w:cs="Arial"/>
                <w:sz w:val="24"/>
                <w:szCs w:val="24"/>
                <w:lang w:val="en-GB"/>
              </w:rPr>
            </w:pPr>
          </w:p>
        </w:tc>
        <w:tc>
          <w:tcPr>
            <w:tcW w:w="2968" w:type="dxa"/>
            <w:tcBorders>
              <w:top w:val="nil"/>
              <w:left w:val="nil"/>
              <w:bottom w:val="nil"/>
              <w:right w:val="nil"/>
            </w:tcBorders>
            <w:tcMar>
              <w:top w:w="80" w:type="dxa"/>
              <w:left w:w="80" w:type="dxa"/>
              <w:bottom w:w="80" w:type="dxa"/>
              <w:right w:w="80" w:type="dxa"/>
            </w:tcMar>
            <w:vAlign w:val="center"/>
          </w:tcPr>
          <w:p w14:paraId="7C9055CB" w14:textId="77777777" w:rsidR="00F7508D" w:rsidRPr="00FE68C5" w:rsidRDefault="00F7508D" w:rsidP="00946E1F">
            <w:pPr>
              <w:keepNext/>
              <w:spacing w:after="0" w:line="240" w:lineRule="auto"/>
              <w:ind w:right="270"/>
              <w:jc w:val="center"/>
              <w:outlineLvl w:val="3"/>
              <w:rPr>
                <w:rFonts w:ascii="Arial" w:eastAsia="Times New Roman" w:hAnsi="Arial" w:cs="Arial"/>
                <w:b/>
                <w:bCs/>
                <w:sz w:val="24"/>
                <w:szCs w:val="24"/>
                <w:lang w:val="en-GB"/>
              </w:rPr>
            </w:pPr>
            <w:r w:rsidRPr="00FE68C5">
              <w:rPr>
                <w:rFonts w:ascii="Arial" w:eastAsia="Times New Roman" w:hAnsi="Arial" w:cs="Arial"/>
                <w:b/>
                <w:bCs/>
                <w:sz w:val="24"/>
                <w:szCs w:val="24"/>
                <w:lang w:val="en-GB"/>
              </w:rPr>
              <w:t>UNIÃO AFRICANA</w:t>
            </w:r>
          </w:p>
        </w:tc>
      </w:tr>
      <w:tr w:rsidR="00F7508D" w:rsidRPr="00FE68C5" w14:paraId="50E31DDC" w14:textId="77777777" w:rsidTr="00946E1F">
        <w:trPr>
          <w:trHeight w:val="403"/>
        </w:trPr>
        <w:tc>
          <w:tcPr>
            <w:tcW w:w="3544" w:type="dxa"/>
            <w:tcBorders>
              <w:top w:val="nil"/>
              <w:left w:val="nil"/>
              <w:bottom w:val="nil"/>
              <w:right w:val="nil"/>
            </w:tcBorders>
            <w:tcMar>
              <w:top w:w="80" w:type="dxa"/>
              <w:left w:w="80" w:type="dxa"/>
              <w:bottom w:w="80" w:type="dxa"/>
              <w:right w:w="80" w:type="dxa"/>
            </w:tcMar>
            <w:vAlign w:val="center"/>
          </w:tcPr>
          <w:p w14:paraId="32CA5994" w14:textId="77777777" w:rsidR="00F7508D" w:rsidRPr="00FE68C5" w:rsidRDefault="00F7508D" w:rsidP="00946E1F">
            <w:pPr>
              <w:spacing w:after="0" w:line="240" w:lineRule="auto"/>
              <w:jc w:val="center"/>
              <w:rPr>
                <w:rFonts w:ascii="Arial" w:eastAsia="Times New Roman" w:hAnsi="Arial" w:cs="Arial"/>
                <w:b/>
                <w:color w:val="000000"/>
                <w:sz w:val="24"/>
                <w:szCs w:val="24"/>
                <w:u w:color="000000"/>
                <w:lang w:val="en-GB"/>
              </w:rPr>
            </w:pPr>
            <w:r w:rsidRPr="00FE68C5">
              <w:rPr>
                <w:rFonts w:ascii="Arial" w:eastAsia="Times New Roman" w:hAnsi="Arial" w:cs="Arial"/>
                <w:b/>
                <w:color w:val="000000"/>
                <w:sz w:val="24"/>
                <w:szCs w:val="24"/>
                <w:u w:color="000000"/>
                <w:lang w:val="en-GB"/>
              </w:rPr>
              <w:t>UMOJA WA AFRIKA</w:t>
            </w:r>
          </w:p>
        </w:tc>
        <w:tc>
          <w:tcPr>
            <w:tcW w:w="3269" w:type="dxa"/>
            <w:vMerge/>
            <w:tcBorders>
              <w:left w:val="nil"/>
              <w:bottom w:val="nil"/>
              <w:right w:val="nil"/>
            </w:tcBorders>
          </w:tcPr>
          <w:p w14:paraId="17DB47DA" w14:textId="77777777" w:rsidR="00F7508D" w:rsidRPr="00FE68C5" w:rsidRDefault="00F7508D" w:rsidP="00946E1F">
            <w:pPr>
              <w:spacing w:after="0" w:line="240" w:lineRule="auto"/>
              <w:rPr>
                <w:rFonts w:ascii="Arial" w:eastAsia="Times New Roman" w:hAnsi="Arial" w:cs="Arial"/>
                <w:b/>
                <w:sz w:val="24"/>
                <w:szCs w:val="24"/>
                <w:lang w:val="en-GB"/>
              </w:rPr>
            </w:pPr>
          </w:p>
        </w:tc>
        <w:tc>
          <w:tcPr>
            <w:tcW w:w="2968" w:type="dxa"/>
            <w:tcBorders>
              <w:top w:val="nil"/>
              <w:left w:val="nil"/>
              <w:bottom w:val="nil"/>
              <w:right w:val="nil"/>
            </w:tcBorders>
            <w:tcMar>
              <w:top w:w="80" w:type="dxa"/>
              <w:left w:w="80" w:type="dxa"/>
              <w:bottom w:w="80" w:type="dxa"/>
              <w:right w:w="80" w:type="dxa"/>
            </w:tcMar>
            <w:vAlign w:val="center"/>
          </w:tcPr>
          <w:p w14:paraId="52603BCE" w14:textId="77777777" w:rsidR="00F7508D" w:rsidRPr="00FE68C5" w:rsidRDefault="00F7508D" w:rsidP="00946E1F">
            <w:pPr>
              <w:spacing w:after="0" w:line="240" w:lineRule="auto"/>
              <w:ind w:right="222"/>
              <w:jc w:val="center"/>
              <w:rPr>
                <w:rFonts w:ascii="Arial" w:eastAsia="Arial" w:hAnsi="Arial" w:cs="Arial"/>
                <w:b/>
                <w:color w:val="000000"/>
                <w:sz w:val="24"/>
                <w:szCs w:val="24"/>
                <w:u w:color="000000"/>
                <w:lang w:val="en-GB"/>
              </w:rPr>
            </w:pPr>
            <w:r w:rsidRPr="00FE68C5">
              <w:rPr>
                <w:rFonts w:ascii="Arial" w:eastAsia="Arial" w:hAnsi="Arial" w:cs="Arial"/>
                <w:b/>
                <w:color w:val="000000"/>
                <w:sz w:val="24"/>
                <w:szCs w:val="24"/>
                <w:u w:color="000000"/>
                <w:lang w:val="en-GB"/>
              </w:rPr>
              <w:t>UNIÓN AFRICANA</w:t>
            </w:r>
          </w:p>
        </w:tc>
      </w:tr>
    </w:tbl>
    <w:p w14:paraId="33FD5A76" w14:textId="77777777" w:rsidR="00F7508D" w:rsidRPr="00FE68C5" w:rsidRDefault="00F7508D" w:rsidP="00F7508D">
      <w:pPr>
        <w:keepNext/>
        <w:spacing w:after="0" w:line="240" w:lineRule="auto"/>
        <w:ind w:right="260"/>
        <w:outlineLvl w:val="4"/>
        <w:rPr>
          <w:rFonts w:ascii="Arial" w:eastAsia="Times New Roman" w:hAnsi="Arial" w:cs="Arial"/>
          <w:b/>
          <w:color w:val="006600"/>
          <w:sz w:val="10"/>
          <w:szCs w:val="10"/>
          <w:u w:val="single"/>
          <w:lang w:val="en-GB"/>
        </w:rPr>
      </w:pPr>
    </w:p>
    <w:tbl>
      <w:tblPr>
        <w:tblW w:w="8856" w:type="dxa"/>
        <w:jc w:val="center"/>
        <w:tblLook w:val="04A0" w:firstRow="1" w:lastRow="0" w:firstColumn="1" w:lastColumn="0" w:noHBand="0" w:noVBand="1"/>
      </w:tblPr>
      <w:tblGrid>
        <w:gridCol w:w="8856"/>
      </w:tblGrid>
      <w:tr w:rsidR="00F7508D" w:rsidRPr="00FE68C5" w14:paraId="2E901899" w14:textId="77777777" w:rsidTr="00946E1F">
        <w:trPr>
          <w:cantSplit/>
          <w:jc w:val="center"/>
        </w:trPr>
        <w:tc>
          <w:tcPr>
            <w:tcW w:w="8856" w:type="dxa"/>
            <w:tcBorders>
              <w:top w:val="single" w:sz="4" w:space="0" w:color="auto"/>
              <w:left w:val="nil"/>
              <w:bottom w:val="single" w:sz="4" w:space="0" w:color="auto"/>
              <w:right w:val="nil"/>
            </w:tcBorders>
          </w:tcPr>
          <w:p w14:paraId="19843D08" w14:textId="77777777" w:rsidR="00F7508D" w:rsidRPr="00FE68C5" w:rsidRDefault="00F7508D" w:rsidP="00946E1F">
            <w:pPr>
              <w:keepNext/>
              <w:spacing w:after="0" w:line="240" w:lineRule="auto"/>
              <w:jc w:val="center"/>
              <w:outlineLvl w:val="3"/>
              <w:rPr>
                <w:rFonts w:ascii="Arial" w:eastAsia="Times New Roman" w:hAnsi="Arial" w:cs="Arial"/>
                <w:b/>
                <w:iCs/>
                <w:lang w:val="en-GB"/>
              </w:rPr>
            </w:pPr>
            <w:r w:rsidRPr="00FE68C5">
              <w:rPr>
                <w:rFonts w:ascii="Arial" w:eastAsia="Times New Roman" w:hAnsi="Arial" w:cs="Arial"/>
                <w:b/>
                <w:bCs/>
                <w:iCs/>
                <w:lang w:val="en-GB"/>
              </w:rPr>
              <w:t>Addis Ababa, ETHIOPIA    P. O. Box 3243   Tel:  +251-115517700</w:t>
            </w:r>
          </w:p>
          <w:p w14:paraId="01261F6C" w14:textId="77777777" w:rsidR="00F7508D" w:rsidRPr="00FE68C5" w:rsidRDefault="00F7508D" w:rsidP="00946E1F">
            <w:pPr>
              <w:keepNext/>
              <w:spacing w:after="0" w:line="240" w:lineRule="auto"/>
              <w:jc w:val="center"/>
              <w:outlineLvl w:val="3"/>
              <w:rPr>
                <w:rFonts w:ascii="Arial" w:eastAsia="Times New Roman" w:hAnsi="Arial" w:cs="Arial"/>
                <w:b/>
                <w:iCs/>
                <w:lang w:val="en-GB"/>
              </w:rPr>
            </w:pPr>
            <w:r w:rsidRPr="00FE68C5">
              <w:rPr>
                <w:rFonts w:ascii="Arial" w:eastAsia="Times New Roman" w:hAnsi="Arial" w:cs="Arial"/>
                <w:b/>
                <w:bCs/>
                <w:iCs/>
                <w:lang w:val="en-GB"/>
              </w:rPr>
              <w:t xml:space="preserve">Website: </w:t>
            </w:r>
            <w:hyperlink r:id="rId10" w:history="1">
              <w:r w:rsidRPr="00FE68C5">
                <w:rPr>
                  <w:rFonts w:ascii="Arial" w:eastAsia="Times New Roman" w:hAnsi="Arial" w:cs="Arial"/>
                  <w:b/>
                  <w:bCs/>
                  <w:iCs/>
                  <w:lang w:val="en-GB"/>
                </w:rPr>
                <w:t>www.au.int</w:t>
              </w:r>
            </w:hyperlink>
            <w:r w:rsidRPr="00FE68C5">
              <w:rPr>
                <w:rFonts w:ascii="Arial" w:eastAsia="Times New Roman" w:hAnsi="Arial" w:cs="Arial"/>
                <w:b/>
                <w:bCs/>
                <w:iCs/>
                <w:lang w:val="en-GB"/>
              </w:rPr>
              <w:t xml:space="preserve"> </w:t>
            </w:r>
          </w:p>
        </w:tc>
      </w:tr>
    </w:tbl>
    <w:p w14:paraId="1F812F69" w14:textId="531A1E35" w:rsidR="00F7508D" w:rsidRPr="00FE68C5" w:rsidRDefault="00F7508D" w:rsidP="00F7508D">
      <w:pPr>
        <w:tabs>
          <w:tab w:val="left" w:pos="5103"/>
        </w:tabs>
        <w:spacing w:after="0" w:line="240" w:lineRule="auto"/>
        <w:ind w:right="429"/>
        <w:jc w:val="both"/>
        <w:rPr>
          <w:rFonts w:ascii="Arial" w:eastAsia="Times New Roman" w:hAnsi="Arial" w:cs="Arial"/>
          <w:b/>
          <w:sz w:val="24"/>
          <w:szCs w:val="24"/>
          <w:lang w:val="en-GB"/>
        </w:rPr>
      </w:pPr>
      <w:r w:rsidRPr="00FE68C5">
        <w:rPr>
          <w:rFonts w:ascii="Arial" w:eastAsia="Times New Roman" w:hAnsi="Arial" w:cs="Arial"/>
          <w:b/>
          <w:sz w:val="24"/>
          <w:szCs w:val="24"/>
          <w:lang w:val="en-GB"/>
        </w:rPr>
        <w:tab/>
      </w:r>
    </w:p>
    <w:p w14:paraId="3A0490DB" w14:textId="77777777" w:rsidR="00F7508D" w:rsidRPr="00FE68C5" w:rsidRDefault="00F7508D" w:rsidP="00F7508D">
      <w:pPr>
        <w:rPr>
          <w:lang w:val="en-GB"/>
        </w:rPr>
      </w:pPr>
    </w:p>
    <w:p w14:paraId="5C3606DC" w14:textId="77777777" w:rsidR="00F7508D" w:rsidRPr="00FE68C5" w:rsidRDefault="00F7508D" w:rsidP="00F7508D">
      <w:pPr>
        <w:pStyle w:val="Default"/>
        <w:rPr>
          <w:lang w:val="en-GB"/>
        </w:rPr>
      </w:pPr>
    </w:p>
    <w:p w14:paraId="1FB215F1" w14:textId="77777777" w:rsidR="00F7508D" w:rsidRPr="00FE68C5" w:rsidRDefault="00F7508D" w:rsidP="00F7508D">
      <w:pPr>
        <w:pStyle w:val="Default"/>
        <w:rPr>
          <w:lang w:val="en-GB"/>
        </w:rPr>
      </w:pPr>
      <w:r w:rsidRPr="00FE68C5">
        <w:rPr>
          <w:b/>
          <w:bCs/>
          <w:lang w:val="en-GB"/>
        </w:rPr>
        <w:t xml:space="preserve">SIXTH ORDINARY SESSION OF THE SPECIALISED </w:t>
      </w:r>
    </w:p>
    <w:p w14:paraId="0E00873C" w14:textId="77777777" w:rsidR="00F7508D" w:rsidRPr="00FE68C5" w:rsidRDefault="00F7508D" w:rsidP="00F7508D">
      <w:pPr>
        <w:pStyle w:val="Default"/>
        <w:rPr>
          <w:lang w:val="en-GB"/>
        </w:rPr>
      </w:pPr>
      <w:r w:rsidRPr="00FE68C5">
        <w:rPr>
          <w:b/>
          <w:bCs/>
          <w:lang w:val="en-GB"/>
        </w:rPr>
        <w:t xml:space="preserve">TECHNICAL COMMITTEE ON SOCIAL DEVELOPMENT, </w:t>
      </w:r>
    </w:p>
    <w:p w14:paraId="4550C39E" w14:textId="77777777" w:rsidR="00F7508D" w:rsidRPr="00FE68C5" w:rsidRDefault="00F7508D" w:rsidP="00F7508D">
      <w:pPr>
        <w:pStyle w:val="Default"/>
        <w:rPr>
          <w:lang w:val="en-GB"/>
        </w:rPr>
      </w:pPr>
      <w:r w:rsidRPr="00FE68C5">
        <w:rPr>
          <w:b/>
          <w:bCs/>
          <w:lang w:val="en-GB"/>
        </w:rPr>
        <w:t xml:space="preserve">LABOUR AND EMPLOYMENT (STC-SDLE-6) </w:t>
      </w:r>
    </w:p>
    <w:p w14:paraId="466D4E6D" w14:textId="77777777" w:rsidR="00F7508D" w:rsidRPr="00FE68C5" w:rsidRDefault="00F7508D" w:rsidP="00F7508D">
      <w:pPr>
        <w:pStyle w:val="Default"/>
        <w:rPr>
          <w:lang w:val="en-GB"/>
        </w:rPr>
      </w:pPr>
      <w:r w:rsidRPr="00FE68C5">
        <w:rPr>
          <w:b/>
          <w:bCs/>
          <w:lang w:val="en-GB"/>
        </w:rPr>
        <w:t>27</w:t>
      </w:r>
      <w:r w:rsidRPr="00FE68C5">
        <w:rPr>
          <w:b/>
          <w:bCs/>
          <w:vertAlign w:val="superscript"/>
          <w:lang w:val="en-GB"/>
        </w:rPr>
        <w:t>TH</w:t>
      </w:r>
      <w:r w:rsidRPr="00FE68C5">
        <w:rPr>
          <w:b/>
          <w:bCs/>
          <w:lang w:val="en-GB"/>
        </w:rPr>
        <w:t xml:space="preserve"> – 31</w:t>
      </w:r>
      <w:r w:rsidRPr="00FE68C5">
        <w:rPr>
          <w:b/>
          <w:bCs/>
          <w:vertAlign w:val="superscript"/>
          <w:lang w:val="en-GB"/>
        </w:rPr>
        <w:t>ST</w:t>
      </w:r>
      <w:r w:rsidRPr="00FE68C5">
        <w:rPr>
          <w:b/>
          <w:bCs/>
          <w:lang w:val="en-GB"/>
        </w:rPr>
        <w:t xml:space="preserve"> JULY 2026</w:t>
      </w:r>
    </w:p>
    <w:p w14:paraId="6A66971E" w14:textId="124315A0" w:rsidR="00F7508D" w:rsidRPr="00FE68C5" w:rsidRDefault="00F7508D" w:rsidP="00F7508D">
      <w:pPr>
        <w:spacing w:after="0" w:line="240" w:lineRule="auto"/>
        <w:rPr>
          <w:rFonts w:ascii="Arial" w:hAnsi="Arial" w:cs="Arial"/>
          <w:sz w:val="24"/>
          <w:szCs w:val="24"/>
          <w:lang w:val="en-GB"/>
        </w:rPr>
      </w:pPr>
      <w:r w:rsidRPr="00FE68C5">
        <w:rPr>
          <w:rFonts w:ascii="Arial" w:hAnsi="Arial" w:cs="Arial"/>
          <w:b/>
          <w:bCs/>
          <w:sz w:val="24"/>
          <w:szCs w:val="24"/>
          <w:lang w:val="en-GB"/>
        </w:rPr>
        <w:t>WINDHOEK, NAMIBIA</w:t>
      </w:r>
      <w:r w:rsidR="00FE68C5">
        <w:rPr>
          <w:rFonts w:ascii="Arial" w:hAnsi="Arial" w:cs="Arial"/>
          <w:b/>
          <w:bCs/>
          <w:sz w:val="24"/>
          <w:szCs w:val="24"/>
          <w:lang w:val="en-GB"/>
        </w:rPr>
        <w:t>.</w:t>
      </w:r>
      <w:r w:rsidRPr="00FE68C5">
        <w:rPr>
          <w:rFonts w:ascii="Arial" w:hAnsi="Arial" w:cs="Arial"/>
          <w:b/>
          <w:bCs/>
          <w:sz w:val="24"/>
          <w:szCs w:val="24"/>
          <w:lang w:val="en-GB"/>
        </w:rPr>
        <w:t xml:space="preserve"> </w:t>
      </w:r>
    </w:p>
    <w:p w14:paraId="7CC04CD6" w14:textId="77777777" w:rsidR="00F7508D" w:rsidRPr="00FE68C5" w:rsidRDefault="00F7508D" w:rsidP="00F7508D">
      <w:pPr>
        <w:spacing w:after="0" w:line="240" w:lineRule="auto"/>
        <w:rPr>
          <w:rFonts w:ascii="Arial" w:hAnsi="Arial" w:cs="Arial"/>
          <w:sz w:val="24"/>
          <w:szCs w:val="24"/>
          <w:lang w:val="en-GB"/>
        </w:rPr>
      </w:pPr>
    </w:p>
    <w:p w14:paraId="7850A001" w14:textId="77777777" w:rsidR="00F7508D" w:rsidRPr="00FE68C5" w:rsidRDefault="00F7508D" w:rsidP="00F7508D">
      <w:pPr>
        <w:spacing w:after="0" w:line="240" w:lineRule="auto"/>
        <w:rPr>
          <w:rFonts w:ascii="Arial" w:hAnsi="Arial" w:cs="Arial"/>
          <w:sz w:val="24"/>
          <w:szCs w:val="24"/>
          <w:lang w:val="en-GB"/>
        </w:rPr>
      </w:pPr>
    </w:p>
    <w:p w14:paraId="481746B7" w14:textId="77777777" w:rsidR="00F7508D" w:rsidRPr="00FE68C5" w:rsidRDefault="00F7508D" w:rsidP="00F7508D">
      <w:pPr>
        <w:spacing w:after="0" w:line="240" w:lineRule="auto"/>
        <w:rPr>
          <w:rFonts w:ascii="Arial" w:hAnsi="Arial" w:cs="Arial"/>
          <w:sz w:val="24"/>
          <w:szCs w:val="24"/>
          <w:lang w:val="en-GB"/>
        </w:rPr>
      </w:pPr>
    </w:p>
    <w:p w14:paraId="4000BA2A" w14:textId="77777777" w:rsidR="00F7508D" w:rsidRPr="00FE68C5" w:rsidRDefault="00F7508D" w:rsidP="00F7508D">
      <w:pPr>
        <w:spacing w:after="0" w:line="240" w:lineRule="auto"/>
        <w:rPr>
          <w:rFonts w:ascii="Arial" w:hAnsi="Arial" w:cs="Arial"/>
          <w:sz w:val="24"/>
          <w:szCs w:val="24"/>
          <w:lang w:val="en-GB"/>
        </w:rPr>
      </w:pPr>
    </w:p>
    <w:p w14:paraId="76F2B55F" w14:textId="77777777" w:rsidR="00F7508D" w:rsidRPr="00FE68C5" w:rsidRDefault="00F7508D" w:rsidP="00F7508D">
      <w:pPr>
        <w:spacing w:after="0" w:line="240" w:lineRule="auto"/>
        <w:jc w:val="center"/>
        <w:rPr>
          <w:rFonts w:ascii="Arial" w:hAnsi="Arial" w:cs="Arial"/>
          <w:sz w:val="24"/>
          <w:szCs w:val="24"/>
          <w:lang w:val="en-GB"/>
        </w:rPr>
      </w:pPr>
    </w:p>
    <w:p w14:paraId="5824EEBA" w14:textId="6E637184" w:rsidR="00F7508D" w:rsidRPr="00FE68C5" w:rsidRDefault="00F7508D" w:rsidP="00F7508D">
      <w:pPr>
        <w:spacing w:after="0" w:line="240" w:lineRule="auto"/>
        <w:jc w:val="center"/>
        <w:rPr>
          <w:rFonts w:ascii="Arial" w:hAnsi="Arial" w:cs="Arial"/>
          <w:b/>
          <w:bCs/>
          <w:sz w:val="24"/>
          <w:szCs w:val="24"/>
          <w:lang w:val="en-GB"/>
        </w:rPr>
      </w:pPr>
      <w:r w:rsidRPr="00FE68C5">
        <w:rPr>
          <w:rFonts w:ascii="Arial" w:hAnsi="Arial" w:cs="Arial"/>
          <w:b/>
          <w:bCs/>
          <w:sz w:val="24"/>
          <w:szCs w:val="24"/>
          <w:lang w:val="en-GB"/>
        </w:rPr>
        <w:t>THEME:</w:t>
      </w:r>
      <w:r w:rsidRPr="00FE68C5">
        <w:rPr>
          <w:rFonts w:ascii="Arial" w:hAnsi="Arial" w:cs="Arial"/>
          <w:b/>
          <w:bCs/>
          <w:i/>
          <w:iCs/>
          <w:sz w:val="24"/>
          <w:szCs w:val="24"/>
          <w:lang w:val="en-GB"/>
        </w:rPr>
        <w:t xml:space="preserve"> </w:t>
      </w:r>
      <w:r w:rsidRPr="00FE68C5">
        <w:rPr>
          <w:rFonts w:ascii="Arial" w:hAnsi="Arial" w:cs="Arial"/>
          <w:b/>
          <w:bCs/>
          <w:sz w:val="24"/>
          <w:szCs w:val="24"/>
          <w:lang w:val="en-GB"/>
        </w:rPr>
        <w:t>INVESTING, STRENGTHENING AND EXPANDING SOCIAL PROTECTION SYSTEMS IN AFRICA:</w:t>
      </w:r>
      <w:r w:rsidR="00CE13ED" w:rsidRPr="00FE68C5">
        <w:rPr>
          <w:rFonts w:ascii="Arial" w:hAnsi="Arial" w:cs="Arial"/>
          <w:b/>
          <w:bCs/>
          <w:sz w:val="24"/>
          <w:szCs w:val="24"/>
          <w:lang w:val="en-GB"/>
        </w:rPr>
        <w:t xml:space="preserve"> </w:t>
      </w:r>
      <w:r w:rsidRPr="00FE68C5">
        <w:rPr>
          <w:rFonts w:ascii="Arial" w:hAnsi="Arial" w:cs="Arial"/>
          <w:b/>
          <w:bCs/>
          <w:sz w:val="24"/>
          <w:szCs w:val="24"/>
          <w:lang w:val="en-GB"/>
        </w:rPr>
        <w:t>CRITICAL ENABLER</w:t>
      </w:r>
      <w:r w:rsidR="00CE13ED" w:rsidRPr="00FE68C5">
        <w:rPr>
          <w:rFonts w:ascii="Arial" w:hAnsi="Arial" w:cs="Arial"/>
          <w:b/>
          <w:bCs/>
          <w:sz w:val="24"/>
          <w:szCs w:val="24"/>
          <w:lang w:val="en-GB"/>
        </w:rPr>
        <w:t>S</w:t>
      </w:r>
      <w:r w:rsidRPr="00FE68C5">
        <w:rPr>
          <w:rFonts w:ascii="Arial" w:hAnsi="Arial" w:cs="Arial"/>
          <w:b/>
          <w:bCs/>
          <w:sz w:val="24"/>
          <w:szCs w:val="24"/>
          <w:lang w:val="en-GB"/>
        </w:rPr>
        <w:t xml:space="preserve"> FOR INCLUSION, RESILIENCE AND SOCIAL JUSTICE</w:t>
      </w:r>
    </w:p>
    <w:p w14:paraId="1BE74118" w14:textId="77777777" w:rsidR="00F7508D" w:rsidRPr="00FE68C5" w:rsidRDefault="00F7508D" w:rsidP="00F7508D">
      <w:pPr>
        <w:spacing w:after="0" w:line="240" w:lineRule="auto"/>
        <w:rPr>
          <w:rFonts w:ascii="Arial" w:hAnsi="Arial" w:cs="Arial"/>
          <w:b/>
          <w:bCs/>
          <w:sz w:val="24"/>
          <w:szCs w:val="24"/>
          <w:lang w:val="en-GB"/>
        </w:rPr>
      </w:pPr>
    </w:p>
    <w:p w14:paraId="11B9024C" w14:textId="77777777" w:rsidR="00F7508D" w:rsidRPr="00FE68C5" w:rsidRDefault="00F7508D" w:rsidP="00F7508D">
      <w:pPr>
        <w:spacing w:after="0" w:line="240" w:lineRule="auto"/>
        <w:rPr>
          <w:rFonts w:ascii="Arial" w:hAnsi="Arial" w:cs="Arial"/>
          <w:b/>
          <w:bCs/>
          <w:sz w:val="24"/>
          <w:szCs w:val="24"/>
          <w:lang w:val="en-GB"/>
        </w:rPr>
      </w:pPr>
    </w:p>
    <w:p w14:paraId="0199E984" w14:textId="77777777" w:rsidR="00F7508D" w:rsidRPr="00FE68C5" w:rsidRDefault="00F7508D" w:rsidP="00F7508D">
      <w:pPr>
        <w:spacing w:after="0" w:line="240" w:lineRule="auto"/>
        <w:rPr>
          <w:rFonts w:ascii="Arial" w:hAnsi="Arial" w:cs="Arial"/>
          <w:b/>
          <w:bCs/>
          <w:sz w:val="24"/>
          <w:szCs w:val="24"/>
          <w:lang w:val="en-GB"/>
        </w:rPr>
      </w:pPr>
    </w:p>
    <w:p w14:paraId="08A02082" w14:textId="77777777" w:rsidR="00F7508D" w:rsidRPr="00FE68C5" w:rsidRDefault="00F7508D" w:rsidP="00F7508D">
      <w:pPr>
        <w:spacing w:after="0" w:line="240" w:lineRule="auto"/>
        <w:rPr>
          <w:rFonts w:ascii="Arial" w:hAnsi="Arial" w:cs="Arial"/>
          <w:b/>
          <w:bCs/>
          <w:sz w:val="24"/>
          <w:szCs w:val="24"/>
          <w:lang w:val="en-GB"/>
        </w:rPr>
      </w:pPr>
    </w:p>
    <w:p w14:paraId="020BCD82" w14:textId="77777777" w:rsidR="00F7508D" w:rsidRPr="00FE68C5" w:rsidRDefault="00F7508D" w:rsidP="00F7508D">
      <w:pPr>
        <w:spacing w:after="0" w:line="240" w:lineRule="auto"/>
        <w:rPr>
          <w:rFonts w:ascii="Arial" w:hAnsi="Arial" w:cs="Arial"/>
          <w:b/>
          <w:bCs/>
          <w:sz w:val="24"/>
          <w:szCs w:val="24"/>
          <w:lang w:val="en-GB"/>
        </w:rPr>
      </w:pPr>
    </w:p>
    <w:p w14:paraId="19D7AEA3" w14:textId="77777777" w:rsidR="00F7508D" w:rsidRPr="00FE68C5" w:rsidRDefault="00F7508D" w:rsidP="00F7508D">
      <w:pPr>
        <w:shd w:val="clear" w:color="auto" w:fill="D9D9D9" w:themeFill="background1" w:themeFillShade="D9"/>
        <w:spacing w:after="0" w:line="240" w:lineRule="auto"/>
        <w:jc w:val="center"/>
        <w:rPr>
          <w:rFonts w:ascii="Arial" w:hAnsi="Arial" w:cs="Arial"/>
          <w:b/>
          <w:bCs/>
          <w:sz w:val="10"/>
          <w:szCs w:val="10"/>
          <w:lang w:val="en-GB"/>
        </w:rPr>
      </w:pPr>
    </w:p>
    <w:p w14:paraId="02535A1B" w14:textId="68454C8F" w:rsidR="00F7508D" w:rsidRPr="00FE68C5" w:rsidRDefault="00867C43" w:rsidP="00480B49">
      <w:pPr>
        <w:shd w:val="clear" w:color="auto" w:fill="D9D9D9" w:themeFill="background1" w:themeFillShade="D9"/>
        <w:spacing w:after="0" w:line="240" w:lineRule="auto"/>
        <w:jc w:val="center"/>
        <w:rPr>
          <w:rFonts w:ascii="Arial" w:hAnsi="Arial" w:cs="Arial"/>
          <w:b/>
          <w:bCs/>
          <w:sz w:val="24"/>
          <w:szCs w:val="24"/>
          <w:lang w:val="en-GB"/>
        </w:rPr>
      </w:pPr>
      <w:r w:rsidRPr="00FE68C5">
        <w:rPr>
          <w:rFonts w:ascii="Arial" w:hAnsi="Arial" w:cs="Arial"/>
          <w:b/>
          <w:bCs/>
          <w:sz w:val="24"/>
          <w:szCs w:val="24"/>
          <w:lang w:val="en-GB"/>
        </w:rPr>
        <w:t>BRIEFING NOTE</w:t>
      </w:r>
      <w:r w:rsidR="00480B49" w:rsidRPr="00FE68C5">
        <w:rPr>
          <w:rFonts w:ascii="Arial" w:hAnsi="Arial" w:cs="Arial"/>
          <w:b/>
          <w:bCs/>
          <w:sz w:val="24"/>
          <w:szCs w:val="24"/>
          <w:lang w:val="en-GB"/>
        </w:rPr>
        <w:t>: THE PAN-AFRICA DIALOGUE SERIES ON AGEING AND DEVELOPMENT</w:t>
      </w:r>
    </w:p>
    <w:p w14:paraId="5E8F1479" w14:textId="77777777" w:rsidR="00FC6514" w:rsidRPr="00FE68C5" w:rsidRDefault="00FC6514" w:rsidP="00FC6514">
      <w:pPr>
        <w:shd w:val="clear" w:color="auto" w:fill="FFFFFF"/>
        <w:spacing w:before="420" w:after="120" w:line="360" w:lineRule="atLeast"/>
        <w:outlineLvl w:val="2"/>
        <w:rPr>
          <w:rFonts w:ascii="Arial" w:eastAsia="Times New Roman" w:hAnsi="Arial" w:cs="Arial"/>
          <w:b/>
          <w:bCs/>
          <w:color w:val="000000"/>
          <w:sz w:val="36"/>
          <w:szCs w:val="36"/>
          <w:lang w:val="en-GB"/>
        </w:rPr>
      </w:pPr>
    </w:p>
    <w:p w14:paraId="262B5A5E" w14:textId="77777777" w:rsidR="00FC6514" w:rsidRPr="00FE68C5" w:rsidRDefault="00FC6514" w:rsidP="00E803D8">
      <w:pPr>
        <w:shd w:val="clear" w:color="auto" w:fill="FFFFFF"/>
        <w:spacing w:before="420" w:after="120" w:line="360" w:lineRule="atLeast"/>
        <w:outlineLvl w:val="2"/>
        <w:rPr>
          <w:rFonts w:ascii="Arial" w:eastAsia="Times New Roman" w:hAnsi="Arial" w:cs="Arial"/>
          <w:b/>
          <w:bCs/>
          <w:color w:val="000000"/>
          <w:sz w:val="28"/>
          <w:szCs w:val="28"/>
          <w:lang w:val="en-GB"/>
        </w:rPr>
      </w:pPr>
    </w:p>
    <w:p w14:paraId="292B4E1B" w14:textId="77777777" w:rsidR="00F7508D" w:rsidRPr="00FE68C5" w:rsidRDefault="00F7508D" w:rsidP="00E803D8">
      <w:pPr>
        <w:shd w:val="clear" w:color="auto" w:fill="FFFFFF"/>
        <w:spacing w:before="420" w:after="120" w:line="360" w:lineRule="atLeast"/>
        <w:outlineLvl w:val="2"/>
        <w:rPr>
          <w:rFonts w:ascii="Arial" w:eastAsia="Times New Roman" w:hAnsi="Arial" w:cs="Arial"/>
          <w:b/>
          <w:bCs/>
          <w:color w:val="000000"/>
          <w:sz w:val="28"/>
          <w:szCs w:val="28"/>
          <w:lang w:val="en-GB"/>
        </w:rPr>
      </w:pPr>
    </w:p>
    <w:p w14:paraId="143B5B28" w14:textId="77777777" w:rsidR="00071A6E" w:rsidRPr="00FE68C5" w:rsidRDefault="00071A6E" w:rsidP="00E803D8">
      <w:pPr>
        <w:shd w:val="clear" w:color="auto" w:fill="FFFFFF"/>
        <w:spacing w:before="420" w:after="120" w:line="360" w:lineRule="atLeast"/>
        <w:outlineLvl w:val="2"/>
        <w:rPr>
          <w:rFonts w:ascii="Arial" w:eastAsia="Times New Roman" w:hAnsi="Arial" w:cs="Arial"/>
          <w:b/>
          <w:bCs/>
          <w:color w:val="000000"/>
          <w:sz w:val="28"/>
          <w:szCs w:val="28"/>
          <w:lang w:val="en-GB"/>
        </w:rPr>
      </w:pPr>
    </w:p>
    <w:p w14:paraId="1A29C637" w14:textId="77777777" w:rsidR="00F7508D" w:rsidRPr="00FE68C5" w:rsidRDefault="00F7508D" w:rsidP="00E803D8">
      <w:pPr>
        <w:shd w:val="clear" w:color="auto" w:fill="FFFFFF"/>
        <w:spacing w:before="420" w:after="120" w:line="360" w:lineRule="atLeast"/>
        <w:outlineLvl w:val="2"/>
        <w:rPr>
          <w:rFonts w:ascii="Arial" w:eastAsia="Times New Roman" w:hAnsi="Arial" w:cs="Arial"/>
          <w:b/>
          <w:bCs/>
          <w:color w:val="1F1F1F"/>
          <w:sz w:val="24"/>
          <w:szCs w:val="24"/>
          <w:lang w:val="en-GB"/>
        </w:rPr>
      </w:pPr>
    </w:p>
    <w:p w14:paraId="4B9DCF55" w14:textId="77777777" w:rsidR="00867C43" w:rsidRDefault="00867C43" w:rsidP="00E803D8">
      <w:pPr>
        <w:shd w:val="clear" w:color="auto" w:fill="FFFFFF"/>
        <w:spacing w:before="420" w:after="120" w:line="360" w:lineRule="atLeast"/>
        <w:outlineLvl w:val="2"/>
        <w:rPr>
          <w:rFonts w:ascii="Arial" w:eastAsia="Times New Roman" w:hAnsi="Arial" w:cs="Arial"/>
          <w:b/>
          <w:bCs/>
          <w:color w:val="1F1F1F"/>
          <w:sz w:val="24"/>
          <w:szCs w:val="24"/>
          <w:lang w:val="en-GB"/>
        </w:rPr>
      </w:pPr>
    </w:p>
    <w:p w14:paraId="780E5461" w14:textId="09CAC922" w:rsidR="00867C43" w:rsidRDefault="00867C43" w:rsidP="00867C43">
      <w:pPr>
        <w:spacing w:after="0"/>
        <w:jc w:val="both"/>
        <w:rPr>
          <w:rFonts w:ascii="Arial" w:eastAsia="Times New Roman" w:hAnsi="Arial" w:cs="Arial"/>
          <w:b/>
          <w:bCs/>
          <w:color w:val="1F1F1F"/>
          <w:sz w:val="24"/>
          <w:szCs w:val="24"/>
          <w:lang w:val="en-GB"/>
        </w:rPr>
      </w:pPr>
    </w:p>
    <w:p w14:paraId="767F71F1" w14:textId="77777777" w:rsidR="00FE68C5" w:rsidRPr="00FE68C5" w:rsidRDefault="00FE68C5" w:rsidP="00867C43">
      <w:pPr>
        <w:spacing w:after="0"/>
        <w:jc w:val="both"/>
        <w:rPr>
          <w:rFonts w:ascii="Arial" w:eastAsia="Times New Roman" w:hAnsi="Arial" w:cs="Arial"/>
          <w:color w:val="1F1F1F"/>
          <w:sz w:val="24"/>
          <w:szCs w:val="24"/>
          <w:lang w:val="en-GB"/>
        </w:rPr>
      </w:pPr>
    </w:p>
    <w:p w14:paraId="68D469D9" w14:textId="77777777" w:rsidR="00480B49" w:rsidRPr="00FE68C5" w:rsidRDefault="00480B49" w:rsidP="00867C43">
      <w:pPr>
        <w:spacing w:after="0"/>
        <w:jc w:val="both"/>
        <w:rPr>
          <w:rFonts w:ascii="Arial" w:eastAsia="Times New Roman" w:hAnsi="Arial" w:cs="Arial"/>
          <w:color w:val="1F1F1F"/>
          <w:sz w:val="24"/>
          <w:szCs w:val="24"/>
          <w:lang w:val="en-GB"/>
        </w:rPr>
      </w:pPr>
    </w:p>
    <w:p w14:paraId="58C7F490" w14:textId="766359C6" w:rsidR="00867C43" w:rsidRPr="00FE68C5" w:rsidRDefault="00867C43">
      <w:pPr>
        <w:pStyle w:val="ListParagraph"/>
        <w:numPr>
          <w:ilvl w:val="0"/>
          <w:numId w:val="1"/>
        </w:numPr>
        <w:spacing w:after="0"/>
        <w:jc w:val="both"/>
        <w:rPr>
          <w:rFonts w:ascii="Arial" w:eastAsia="Times New Roman" w:hAnsi="Arial" w:cs="Arial"/>
          <w:b/>
          <w:bCs/>
          <w:color w:val="1F1F1F"/>
          <w:sz w:val="24"/>
          <w:szCs w:val="24"/>
          <w:lang w:val="en-GB"/>
        </w:rPr>
      </w:pPr>
      <w:r w:rsidRPr="00FE68C5">
        <w:rPr>
          <w:rFonts w:ascii="Arial" w:eastAsia="Times New Roman" w:hAnsi="Arial" w:cs="Arial"/>
          <w:b/>
          <w:bCs/>
          <w:color w:val="1F1F1F"/>
          <w:sz w:val="24"/>
          <w:szCs w:val="24"/>
          <w:lang w:val="en-GB"/>
        </w:rPr>
        <w:lastRenderedPageBreak/>
        <w:t>Background</w:t>
      </w:r>
    </w:p>
    <w:p w14:paraId="09BCA292" w14:textId="77777777" w:rsidR="00867C43" w:rsidRPr="00FE68C5" w:rsidRDefault="00867C43" w:rsidP="00867C43">
      <w:pPr>
        <w:pStyle w:val="ListParagraph"/>
        <w:spacing w:after="0"/>
        <w:jc w:val="both"/>
        <w:rPr>
          <w:rFonts w:ascii="Arial" w:eastAsia="Times New Roman" w:hAnsi="Arial" w:cs="Arial"/>
          <w:b/>
          <w:bCs/>
          <w:color w:val="1F1F1F"/>
          <w:sz w:val="18"/>
          <w:szCs w:val="18"/>
          <w:lang w:val="en-GB"/>
        </w:rPr>
      </w:pPr>
    </w:p>
    <w:p w14:paraId="494AB8DD" w14:textId="77777777" w:rsidR="00480B49" w:rsidRPr="00FE68C5" w:rsidRDefault="00480B49" w:rsidP="00480B49">
      <w:pPr>
        <w:spacing w:after="0"/>
        <w:jc w:val="both"/>
        <w:rPr>
          <w:rFonts w:ascii="Arial" w:eastAsia="Times New Roman" w:hAnsi="Arial" w:cs="Arial"/>
          <w:color w:val="1F1F1F"/>
          <w:sz w:val="24"/>
          <w:szCs w:val="24"/>
          <w:lang w:val="en-GB"/>
        </w:rPr>
      </w:pPr>
      <w:r w:rsidRPr="00FE68C5">
        <w:rPr>
          <w:rFonts w:ascii="Arial" w:eastAsia="Times New Roman" w:hAnsi="Arial" w:cs="Arial"/>
          <w:color w:val="1F1F1F"/>
          <w:sz w:val="24"/>
          <w:szCs w:val="24"/>
          <w:lang w:val="en-GB"/>
        </w:rPr>
        <w:t>The Pan-Africa Dialogue Series on Ageing and Development constitutes a structured continental platform for policy dialogue, evidence exchange, and multi-stakeholder engagement on Africa’s demographic transition. The Series is intended to support the elevation of ageing within Africa’s development agenda and to facilitate the translation of global and continental commitments into coherent, context-responsive policy, legislative, and programmatic interventions.</w:t>
      </w:r>
    </w:p>
    <w:p w14:paraId="44694941" w14:textId="77777777" w:rsidR="00480B49" w:rsidRPr="00FE68C5" w:rsidRDefault="00480B49" w:rsidP="00480B49">
      <w:pPr>
        <w:spacing w:after="0"/>
        <w:jc w:val="both"/>
        <w:rPr>
          <w:rFonts w:ascii="Arial" w:eastAsia="Times New Roman" w:hAnsi="Arial" w:cs="Arial"/>
          <w:color w:val="1F1F1F"/>
          <w:sz w:val="24"/>
          <w:szCs w:val="24"/>
          <w:lang w:val="en-GB"/>
        </w:rPr>
      </w:pPr>
    </w:p>
    <w:p w14:paraId="52A2D3CB" w14:textId="77777777" w:rsidR="00480B49" w:rsidRPr="00FE68C5" w:rsidRDefault="00480B49" w:rsidP="00480B49">
      <w:pPr>
        <w:spacing w:after="0"/>
        <w:jc w:val="both"/>
        <w:rPr>
          <w:rFonts w:ascii="Arial" w:eastAsia="Times New Roman" w:hAnsi="Arial" w:cs="Arial"/>
          <w:color w:val="1F1F1F"/>
          <w:sz w:val="24"/>
          <w:szCs w:val="24"/>
          <w:lang w:val="en-GB"/>
        </w:rPr>
      </w:pPr>
      <w:r w:rsidRPr="00FE68C5">
        <w:rPr>
          <w:rFonts w:ascii="Arial" w:eastAsia="Times New Roman" w:hAnsi="Arial" w:cs="Arial"/>
          <w:color w:val="1F1F1F"/>
          <w:sz w:val="24"/>
          <w:szCs w:val="24"/>
          <w:lang w:val="en-GB"/>
        </w:rPr>
        <w:t>While Africa remains the youngest region globally, it is experiencing a progressive demographic transition characterised by increasing longevity and a steadily expanding older population across sub-regions. This transition is occurring within a context of persistent structural development challenges, including widespread informality, limited social protection coverage, evolving epidemiological patterns, and constrained access to integrated health and long-term care systems. These dynamics require coordinated, forward-looking, and rights-based policy responses that mainstream ageing within broader sustainable development frameworks.</w:t>
      </w:r>
    </w:p>
    <w:p w14:paraId="2058CBCB" w14:textId="77777777" w:rsidR="00867C43" w:rsidRPr="00FE68C5" w:rsidRDefault="00867C43" w:rsidP="00CE13ED">
      <w:pPr>
        <w:spacing w:after="0"/>
        <w:jc w:val="both"/>
        <w:rPr>
          <w:rFonts w:ascii="Arial" w:eastAsia="Times New Roman" w:hAnsi="Arial" w:cs="Arial"/>
          <w:color w:val="1F1F1F"/>
          <w:sz w:val="24"/>
          <w:szCs w:val="24"/>
          <w:lang w:val="en-GB"/>
        </w:rPr>
      </w:pPr>
    </w:p>
    <w:p w14:paraId="33583651" w14:textId="2C21AA07" w:rsidR="00480B49" w:rsidRPr="00FE68C5" w:rsidRDefault="00480B49" w:rsidP="00CE13ED">
      <w:pPr>
        <w:spacing w:after="0"/>
        <w:jc w:val="both"/>
        <w:rPr>
          <w:rFonts w:ascii="Arial" w:eastAsia="Times New Roman" w:hAnsi="Arial" w:cs="Arial"/>
          <w:b/>
          <w:bCs/>
          <w:color w:val="1F1F1F"/>
          <w:sz w:val="24"/>
          <w:szCs w:val="24"/>
          <w:lang w:val="en-GB"/>
        </w:rPr>
      </w:pPr>
      <w:r w:rsidRPr="00FE68C5">
        <w:rPr>
          <w:rFonts w:ascii="Arial" w:eastAsia="Times New Roman" w:hAnsi="Arial" w:cs="Arial"/>
          <w:b/>
          <w:bCs/>
          <w:color w:val="1F1F1F"/>
          <w:sz w:val="24"/>
          <w:szCs w:val="24"/>
          <w:lang w:val="en-GB"/>
        </w:rPr>
        <w:t>2.0.  Rationale</w:t>
      </w:r>
    </w:p>
    <w:p w14:paraId="5C3FD0BC" w14:textId="77777777" w:rsidR="00480B49" w:rsidRPr="00FE68C5" w:rsidRDefault="00480B49" w:rsidP="00CE13ED">
      <w:pPr>
        <w:spacing w:after="0"/>
        <w:jc w:val="both"/>
        <w:rPr>
          <w:rFonts w:ascii="Arial" w:eastAsia="Times New Roman" w:hAnsi="Arial" w:cs="Arial"/>
          <w:color w:val="1F1F1F"/>
          <w:sz w:val="18"/>
          <w:szCs w:val="18"/>
          <w:lang w:val="en-GB"/>
        </w:rPr>
      </w:pPr>
    </w:p>
    <w:p w14:paraId="46286DF4" w14:textId="77777777" w:rsidR="00480B49" w:rsidRPr="00FE68C5" w:rsidRDefault="00480B49" w:rsidP="00480B49">
      <w:pPr>
        <w:spacing w:after="0"/>
        <w:jc w:val="both"/>
        <w:rPr>
          <w:rFonts w:ascii="Arial" w:eastAsia="Times New Roman" w:hAnsi="Arial" w:cs="Arial"/>
          <w:color w:val="1F1F1F"/>
          <w:sz w:val="24"/>
          <w:szCs w:val="24"/>
          <w:lang w:val="en-GB"/>
        </w:rPr>
      </w:pPr>
      <w:r w:rsidRPr="00FE68C5">
        <w:rPr>
          <w:rFonts w:ascii="Arial" w:eastAsia="Times New Roman" w:hAnsi="Arial" w:cs="Arial"/>
          <w:color w:val="1F1F1F"/>
          <w:sz w:val="24"/>
          <w:szCs w:val="24"/>
          <w:lang w:val="en-GB"/>
        </w:rPr>
        <w:t>The Series responds to the need for structured, evidence-based, and multi-stakeholder engagement to strengthen the implementation of the Madrid International Plan of Action on Ageing (MIPAA), alongside relevant continental instruments and global normative frameworks. In line with MIPAA, such mechanisms are designed to decentralise planning processes, promote a bottom-up policy approach, and ensure that demographic change is systematically addressed across all levels of governance.</w:t>
      </w:r>
    </w:p>
    <w:p w14:paraId="14868607" w14:textId="2322662C" w:rsidR="00480B49" w:rsidRPr="00FE68C5" w:rsidRDefault="00480B49" w:rsidP="00480B49">
      <w:pPr>
        <w:spacing w:after="0"/>
        <w:jc w:val="both"/>
        <w:rPr>
          <w:rFonts w:ascii="Arial" w:eastAsia="Times New Roman" w:hAnsi="Arial" w:cs="Arial"/>
          <w:color w:val="1F1F1F"/>
          <w:sz w:val="24"/>
          <w:szCs w:val="24"/>
          <w:lang w:val="en-GB"/>
        </w:rPr>
      </w:pPr>
      <w:r w:rsidRPr="00FE68C5">
        <w:rPr>
          <w:rFonts w:ascii="Arial" w:eastAsia="Times New Roman" w:hAnsi="Arial" w:cs="Arial"/>
          <w:color w:val="1F1F1F"/>
          <w:sz w:val="24"/>
          <w:szCs w:val="24"/>
          <w:lang w:val="en-GB"/>
        </w:rPr>
        <w:t>These structures typically bring together government ministries, older persons’ organisations, civil society organisations, academia, and the private sector, with a mandate to provide advisory inputs, review national evidence and surveys, and support strategic planning processes. They also play a critical role in monitoring and evaluation through the preparation of periodic progress reports within the cyclical MIPAA review and appraisal framework. Accordingly, the Series contributes to strengthening policy coherence, institutional coordination, and accountability in ageing-related interventions. It further supports the mainstreaming of ageing across key sectors, including social protection systems, health and long-term care, gender equality, disability inclusion, and human rights-based approaches.</w:t>
      </w:r>
    </w:p>
    <w:p w14:paraId="4AE0AA61" w14:textId="77777777" w:rsidR="00480B49" w:rsidRPr="00FE68C5" w:rsidRDefault="00480B49" w:rsidP="00CE13ED">
      <w:pPr>
        <w:spacing w:after="0"/>
        <w:jc w:val="both"/>
        <w:rPr>
          <w:rFonts w:ascii="Arial" w:eastAsia="Times New Roman" w:hAnsi="Arial" w:cs="Arial"/>
          <w:color w:val="1F1F1F"/>
          <w:sz w:val="24"/>
          <w:szCs w:val="24"/>
          <w:lang w:val="en-GB"/>
        </w:rPr>
      </w:pPr>
    </w:p>
    <w:p w14:paraId="5F404342" w14:textId="07A1AD5D" w:rsidR="00FE68C5" w:rsidRPr="00FE68C5" w:rsidRDefault="00480B49" w:rsidP="00480B49">
      <w:pPr>
        <w:spacing w:after="0"/>
        <w:jc w:val="both"/>
        <w:rPr>
          <w:rFonts w:ascii="Arial" w:eastAsia="Times New Roman" w:hAnsi="Arial" w:cs="Arial"/>
          <w:b/>
          <w:bCs/>
          <w:color w:val="1F1F1F"/>
          <w:sz w:val="24"/>
          <w:szCs w:val="24"/>
          <w:lang w:val="en-GB"/>
        </w:rPr>
      </w:pPr>
      <w:r w:rsidRPr="00FE68C5">
        <w:rPr>
          <w:rFonts w:ascii="Arial" w:eastAsia="Times New Roman" w:hAnsi="Arial" w:cs="Arial"/>
          <w:b/>
          <w:bCs/>
          <w:color w:val="1F1F1F"/>
          <w:sz w:val="24"/>
          <w:szCs w:val="24"/>
          <w:lang w:val="en-GB"/>
        </w:rPr>
        <w:t>3.0.  Series Overview (Sessions Convened to Date)</w:t>
      </w:r>
    </w:p>
    <w:p w14:paraId="0D28A7EB" w14:textId="77777777" w:rsidR="00FE68C5" w:rsidRPr="00FE68C5" w:rsidRDefault="00FE68C5" w:rsidP="00480B49">
      <w:pPr>
        <w:spacing w:after="0"/>
        <w:jc w:val="both"/>
        <w:rPr>
          <w:rFonts w:ascii="Arial" w:eastAsia="Times New Roman" w:hAnsi="Arial" w:cs="Arial"/>
          <w:b/>
          <w:bCs/>
          <w:color w:val="1F1F1F"/>
          <w:sz w:val="18"/>
          <w:szCs w:val="18"/>
          <w:lang w:val="en-GB"/>
        </w:rPr>
      </w:pPr>
    </w:p>
    <w:p w14:paraId="5C9CF08B" w14:textId="3F61272C" w:rsidR="00480B49" w:rsidRPr="00FE68C5" w:rsidRDefault="00480B49" w:rsidP="00480B49">
      <w:pPr>
        <w:spacing w:after="0"/>
        <w:jc w:val="both"/>
        <w:rPr>
          <w:rFonts w:ascii="Arial" w:eastAsia="Times New Roman" w:hAnsi="Arial" w:cs="Arial"/>
          <w:b/>
          <w:bCs/>
          <w:color w:val="1F1F1F"/>
          <w:sz w:val="24"/>
          <w:szCs w:val="24"/>
          <w:lang w:val="en-GB"/>
        </w:rPr>
      </w:pPr>
      <w:r w:rsidRPr="00FE68C5">
        <w:rPr>
          <w:rFonts w:ascii="Arial" w:eastAsia="Times New Roman" w:hAnsi="Arial" w:cs="Arial"/>
          <w:color w:val="1F1F1F"/>
          <w:sz w:val="24"/>
          <w:szCs w:val="24"/>
          <w:lang w:val="en-GB"/>
        </w:rPr>
        <w:t>To date, five sessions have been convened under the Series, reflecting a progressively deepening continental dialogue on ageing, policy coherence, and rights-based approaches. These sessions are as follows:</w:t>
      </w:r>
    </w:p>
    <w:p w14:paraId="2D1F3EC5" w14:textId="77777777" w:rsidR="00480B49" w:rsidRPr="00FE68C5" w:rsidRDefault="00480B49" w:rsidP="00480B49">
      <w:pPr>
        <w:spacing w:after="0"/>
        <w:jc w:val="both"/>
        <w:rPr>
          <w:rFonts w:ascii="Arial" w:eastAsia="Times New Roman" w:hAnsi="Arial" w:cs="Arial"/>
          <w:color w:val="1F1F1F"/>
          <w:sz w:val="10"/>
          <w:szCs w:val="10"/>
          <w:lang w:val="en-GB"/>
        </w:rPr>
      </w:pPr>
    </w:p>
    <w:p w14:paraId="2B283D56" w14:textId="77777777" w:rsidR="00480B49" w:rsidRPr="00FE68C5" w:rsidRDefault="00480B49">
      <w:pPr>
        <w:pStyle w:val="ListParagraph"/>
        <w:numPr>
          <w:ilvl w:val="0"/>
          <w:numId w:val="2"/>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The Quiet Demographic Shift: Ageing in Africa Comes into Focus</w:t>
      </w:r>
      <w:r w:rsidRPr="00FE68C5">
        <w:rPr>
          <w:rFonts w:ascii="Arial" w:eastAsia="Times New Roman" w:hAnsi="Arial" w:cs="Arial"/>
          <w:color w:val="1F1F1F"/>
          <w:sz w:val="24"/>
          <w:szCs w:val="24"/>
          <w:lang w:val="en-GB"/>
        </w:rPr>
        <w:t>, which examined emerging demographic trends and their policy implications, with emphasis on framing ageing as a strategic development consideration;</w:t>
      </w:r>
    </w:p>
    <w:p w14:paraId="1A2C9765" w14:textId="77777777" w:rsidR="00480B49" w:rsidRPr="00FE68C5" w:rsidRDefault="00480B49">
      <w:pPr>
        <w:pStyle w:val="ListParagraph"/>
        <w:numPr>
          <w:ilvl w:val="0"/>
          <w:numId w:val="2"/>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Taking Stock, Staying Ahead: Recalibrating Policy and Legislation for Ageing through the MIPAA Review</w:t>
      </w:r>
      <w:r w:rsidRPr="00FE68C5">
        <w:rPr>
          <w:rFonts w:ascii="Arial" w:eastAsia="Times New Roman" w:hAnsi="Arial" w:cs="Arial"/>
          <w:color w:val="1F1F1F"/>
          <w:sz w:val="24"/>
          <w:szCs w:val="24"/>
          <w:lang w:val="en-GB"/>
        </w:rPr>
        <w:t xml:space="preserve">, which focused on the fifth review and </w:t>
      </w:r>
      <w:r w:rsidRPr="00FE68C5">
        <w:rPr>
          <w:rFonts w:ascii="Arial" w:eastAsia="Times New Roman" w:hAnsi="Arial" w:cs="Arial"/>
          <w:color w:val="1F1F1F"/>
          <w:sz w:val="24"/>
          <w:szCs w:val="24"/>
          <w:lang w:val="en-GB"/>
        </w:rPr>
        <w:lastRenderedPageBreak/>
        <w:t>appraisal cycle of the Madrid International Plan of Action on Ageing (MIPAA) and associated implementation imperatives, particularly in relation to strengthening national policy and legislative frameworks;</w:t>
      </w:r>
    </w:p>
    <w:p w14:paraId="69B3DC29" w14:textId="77777777" w:rsidR="00480B49" w:rsidRPr="00FE68C5" w:rsidRDefault="00480B49">
      <w:pPr>
        <w:pStyle w:val="ListParagraph"/>
        <w:numPr>
          <w:ilvl w:val="0"/>
          <w:numId w:val="2"/>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Rights-Based Social Protection for Older Persons in Africa</w:t>
      </w:r>
      <w:r w:rsidRPr="00FE68C5">
        <w:rPr>
          <w:rFonts w:ascii="Arial" w:eastAsia="Times New Roman" w:hAnsi="Arial" w:cs="Arial"/>
          <w:color w:val="1F1F1F"/>
          <w:sz w:val="24"/>
          <w:szCs w:val="24"/>
          <w:lang w:val="en-GB"/>
        </w:rPr>
        <w:t>, which addressed the strengthening of inclusive, rights-based social protection systems, with particular attention to coverage gaps, equity considerations, and system responsiveness to the needs of older persons;</w:t>
      </w:r>
    </w:p>
    <w:p w14:paraId="0944697E" w14:textId="77777777" w:rsidR="00480B49" w:rsidRPr="00FE68C5" w:rsidRDefault="00480B49">
      <w:pPr>
        <w:pStyle w:val="ListParagraph"/>
        <w:numPr>
          <w:ilvl w:val="0"/>
          <w:numId w:val="2"/>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Voices into Impact: Multi-Stakeholder Action for the Rights of Older Persons in Africa</w:t>
      </w:r>
      <w:r w:rsidRPr="00FE68C5">
        <w:rPr>
          <w:rFonts w:ascii="Arial" w:eastAsia="Times New Roman" w:hAnsi="Arial" w:cs="Arial"/>
          <w:color w:val="1F1F1F"/>
          <w:sz w:val="24"/>
          <w:szCs w:val="24"/>
          <w:lang w:val="en-GB"/>
        </w:rPr>
        <w:t>, co-led by the Office of the United Nations High Commissioner for Human Rights (OHCHR), which emphasised coordinated, multi-actor approaches to advancing the rights of older persons through enhanced accountability, participation, and institutional engagement; and</w:t>
      </w:r>
    </w:p>
    <w:p w14:paraId="0775B671" w14:textId="4E1EA8F4" w:rsidR="00480B49" w:rsidRPr="00FE68C5" w:rsidRDefault="00480B49">
      <w:pPr>
        <w:pStyle w:val="ListParagraph"/>
        <w:numPr>
          <w:ilvl w:val="0"/>
          <w:numId w:val="2"/>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Reframing Healthy Ageing and Long-Term Care Systems in Africa: Strengthening Home and Community-Based Care through Integrated Approaches</w:t>
      </w:r>
      <w:r w:rsidRPr="00FE68C5">
        <w:rPr>
          <w:rFonts w:ascii="Arial" w:eastAsia="Times New Roman" w:hAnsi="Arial" w:cs="Arial"/>
          <w:color w:val="1F1F1F"/>
          <w:sz w:val="24"/>
          <w:szCs w:val="24"/>
          <w:lang w:val="en-GB"/>
        </w:rPr>
        <w:t>, which explored integrated models for healthy ageing, with emphasis on strengthening home and community-based care systems, improving coordination across health and social protection sectors, and advancing sustainable long-term care frameworks within African contexts.</w:t>
      </w:r>
    </w:p>
    <w:p w14:paraId="64816ACE" w14:textId="77777777" w:rsidR="00480B49" w:rsidRPr="00FE68C5" w:rsidRDefault="00480B49" w:rsidP="00CE13ED">
      <w:pPr>
        <w:spacing w:after="0"/>
        <w:jc w:val="both"/>
        <w:rPr>
          <w:rFonts w:ascii="Arial" w:eastAsia="Times New Roman" w:hAnsi="Arial" w:cs="Arial"/>
          <w:color w:val="1F1F1F"/>
          <w:sz w:val="24"/>
          <w:szCs w:val="24"/>
          <w:lang w:val="en-GB"/>
        </w:rPr>
      </w:pPr>
    </w:p>
    <w:p w14:paraId="3D202FEA" w14:textId="77777777" w:rsidR="00FE68C5" w:rsidRPr="00FE68C5" w:rsidRDefault="00480B49" w:rsidP="00480B49">
      <w:pPr>
        <w:spacing w:after="0"/>
        <w:jc w:val="both"/>
        <w:rPr>
          <w:rFonts w:ascii="Arial" w:eastAsia="Times New Roman" w:hAnsi="Arial" w:cs="Arial"/>
          <w:b/>
          <w:bCs/>
          <w:color w:val="1F1F1F"/>
          <w:sz w:val="24"/>
          <w:szCs w:val="24"/>
          <w:lang w:val="en-GB"/>
        </w:rPr>
      </w:pPr>
      <w:r w:rsidRPr="00FE68C5">
        <w:rPr>
          <w:rFonts w:ascii="Arial" w:eastAsia="Times New Roman" w:hAnsi="Arial" w:cs="Arial"/>
          <w:b/>
          <w:bCs/>
          <w:color w:val="1F1F1F"/>
          <w:sz w:val="24"/>
          <w:szCs w:val="24"/>
          <w:lang w:val="en-GB"/>
        </w:rPr>
        <w:t>4.0.  Gaps / Key Considerations</w:t>
      </w:r>
    </w:p>
    <w:p w14:paraId="695D8A1B" w14:textId="77777777" w:rsidR="00FE68C5" w:rsidRPr="00FE68C5" w:rsidRDefault="00FE68C5" w:rsidP="00480B49">
      <w:pPr>
        <w:spacing w:after="0"/>
        <w:jc w:val="both"/>
        <w:rPr>
          <w:rFonts w:ascii="Arial" w:eastAsia="Times New Roman" w:hAnsi="Arial" w:cs="Arial"/>
          <w:b/>
          <w:bCs/>
          <w:color w:val="1F1F1F"/>
          <w:sz w:val="18"/>
          <w:szCs w:val="18"/>
          <w:lang w:val="en-GB"/>
        </w:rPr>
      </w:pPr>
    </w:p>
    <w:p w14:paraId="7A3DB6C8" w14:textId="16DAF7B5" w:rsidR="00480B49" w:rsidRPr="00FE68C5" w:rsidRDefault="00480B49" w:rsidP="00480B49">
      <w:pPr>
        <w:spacing w:after="0"/>
        <w:jc w:val="both"/>
        <w:rPr>
          <w:rFonts w:ascii="Arial" w:eastAsia="Times New Roman" w:hAnsi="Arial" w:cs="Arial"/>
          <w:color w:val="1F1F1F"/>
          <w:sz w:val="24"/>
          <w:szCs w:val="24"/>
          <w:lang w:val="en-GB"/>
        </w:rPr>
      </w:pPr>
      <w:r w:rsidRPr="00FE68C5">
        <w:rPr>
          <w:rFonts w:ascii="Arial" w:eastAsia="Times New Roman" w:hAnsi="Arial" w:cs="Arial"/>
          <w:color w:val="1F1F1F"/>
          <w:sz w:val="24"/>
          <w:szCs w:val="24"/>
          <w:lang w:val="en-GB"/>
        </w:rPr>
        <w:t>The demographic transition presents an emerging and cross-cutting policy imperative requiring strengthened normative, institutional, and programmatic responses. Key considerations include:</w:t>
      </w:r>
    </w:p>
    <w:p w14:paraId="3DC606EB" w14:textId="77777777" w:rsidR="00D938FA" w:rsidRPr="00FE68C5" w:rsidRDefault="00D938FA" w:rsidP="00480B49">
      <w:pPr>
        <w:spacing w:after="0"/>
        <w:jc w:val="both"/>
        <w:rPr>
          <w:rFonts w:ascii="Arial" w:eastAsia="Times New Roman" w:hAnsi="Arial" w:cs="Arial"/>
          <w:b/>
          <w:bCs/>
          <w:color w:val="1F1F1F"/>
          <w:sz w:val="10"/>
          <w:szCs w:val="10"/>
          <w:lang w:val="en-GB"/>
        </w:rPr>
      </w:pPr>
    </w:p>
    <w:p w14:paraId="2C9A22C6" w14:textId="77777777" w:rsidR="00480B49" w:rsidRPr="00FE68C5" w:rsidRDefault="00480B49">
      <w:pPr>
        <w:numPr>
          <w:ilvl w:val="0"/>
          <w:numId w:val="3"/>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Normative alignment:</w:t>
      </w:r>
      <w:r w:rsidRPr="00FE68C5">
        <w:rPr>
          <w:rFonts w:ascii="Arial" w:eastAsia="Times New Roman" w:hAnsi="Arial" w:cs="Arial"/>
          <w:color w:val="1F1F1F"/>
          <w:sz w:val="24"/>
          <w:szCs w:val="24"/>
          <w:lang w:val="en-GB"/>
        </w:rPr>
        <w:t> Strengthening coherence across continental, regional, and national ageing frameworks, including MIPAA, through harmonised policy and legal development</w:t>
      </w:r>
    </w:p>
    <w:p w14:paraId="3034D308" w14:textId="77777777" w:rsidR="00480B49" w:rsidRPr="00FE68C5" w:rsidRDefault="00480B49">
      <w:pPr>
        <w:numPr>
          <w:ilvl w:val="0"/>
          <w:numId w:val="3"/>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Institutional coordination:</w:t>
      </w:r>
      <w:r w:rsidRPr="00FE68C5">
        <w:rPr>
          <w:rFonts w:ascii="Arial" w:eastAsia="Times New Roman" w:hAnsi="Arial" w:cs="Arial"/>
          <w:color w:val="1F1F1F"/>
          <w:sz w:val="24"/>
          <w:szCs w:val="24"/>
          <w:lang w:val="en-GB"/>
        </w:rPr>
        <w:t> Enhancing coordination mechanisms across continental, regional (RECs), and national levels to reduce fragmentation and improve implementation</w:t>
      </w:r>
    </w:p>
    <w:p w14:paraId="7590B038" w14:textId="77777777" w:rsidR="00480B49" w:rsidRPr="00FE68C5" w:rsidRDefault="00480B49">
      <w:pPr>
        <w:numPr>
          <w:ilvl w:val="0"/>
          <w:numId w:val="3"/>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Mainstreaming of ageing:</w:t>
      </w:r>
      <w:r w:rsidRPr="00FE68C5">
        <w:rPr>
          <w:rFonts w:ascii="Arial" w:eastAsia="Times New Roman" w:hAnsi="Arial" w:cs="Arial"/>
          <w:color w:val="1F1F1F"/>
          <w:sz w:val="24"/>
          <w:szCs w:val="24"/>
          <w:lang w:val="en-GB"/>
        </w:rPr>
        <w:t> Systematic integration of ageing into sectoral policies including social protection, health, labour markets, gender equality, and disability inclusion</w:t>
      </w:r>
    </w:p>
    <w:p w14:paraId="4AC55E23" w14:textId="77777777" w:rsidR="00480B49" w:rsidRPr="00FE68C5" w:rsidRDefault="00480B49">
      <w:pPr>
        <w:numPr>
          <w:ilvl w:val="0"/>
          <w:numId w:val="3"/>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Evidence and data systems:</w:t>
      </w:r>
      <w:r w:rsidRPr="00FE68C5">
        <w:rPr>
          <w:rFonts w:ascii="Arial" w:eastAsia="Times New Roman" w:hAnsi="Arial" w:cs="Arial"/>
          <w:color w:val="1F1F1F"/>
          <w:sz w:val="24"/>
          <w:szCs w:val="24"/>
          <w:lang w:val="en-GB"/>
        </w:rPr>
        <w:t> Strengthening demographic data systems for planning, monitoring, and reporting</w:t>
      </w:r>
    </w:p>
    <w:p w14:paraId="10B9400E" w14:textId="77777777" w:rsidR="00480B49" w:rsidRPr="00FE68C5" w:rsidRDefault="00480B49">
      <w:pPr>
        <w:numPr>
          <w:ilvl w:val="0"/>
          <w:numId w:val="3"/>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Rights-based approach:</w:t>
      </w:r>
      <w:r w:rsidRPr="00FE68C5">
        <w:rPr>
          <w:rFonts w:ascii="Arial" w:eastAsia="Times New Roman" w:hAnsi="Arial" w:cs="Arial"/>
          <w:color w:val="1F1F1F"/>
          <w:sz w:val="24"/>
          <w:szCs w:val="24"/>
          <w:lang w:val="en-GB"/>
        </w:rPr>
        <w:t> Ensuring dignity, autonomy, participation, and protection of older persons</w:t>
      </w:r>
    </w:p>
    <w:p w14:paraId="2DDB1CAC" w14:textId="77777777" w:rsidR="00480B49" w:rsidRPr="00FE68C5" w:rsidRDefault="00480B49">
      <w:pPr>
        <w:numPr>
          <w:ilvl w:val="0"/>
          <w:numId w:val="3"/>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Resource and capacity constraints:</w:t>
      </w:r>
      <w:r w:rsidRPr="00FE68C5">
        <w:rPr>
          <w:rFonts w:ascii="Arial" w:eastAsia="Times New Roman" w:hAnsi="Arial" w:cs="Arial"/>
          <w:color w:val="1F1F1F"/>
          <w:sz w:val="24"/>
          <w:szCs w:val="24"/>
          <w:lang w:val="en-GB"/>
        </w:rPr>
        <w:t> Addressing institutional and financing gaps through targeted technical support</w:t>
      </w:r>
    </w:p>
    <w:p w14:paraId="49E7C62E" w14:textId="77777777" w:rsidR="00480B49" w:rsidRPr="00FE68C5" w:rsidRDefault="00480B49">
      <w:pPr>
        <w:numPr>
          <w:ilvl w:val="0"/>
          <w:numId w:val="3"/>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Multi-stakeholder engagement:</w:t>
      </w:r>
      <w:r w:rsidRPr="00FE68C5">
        <w:rPr>
          <w:rFonts w:ascii="Arial" w:eastAsia="Times New Roman" w:hAnsi="Arial" w:cs="Arial"/>
          <w:color w:val="1F1F1F"/>
          <w:sz w:val="24"/>
          <w:szCs w:val="24"/>
          <w:lang w:val="en-GB"/>
        </w:rPr>
        <w:t> Sustained collaboration among Member States, AU institutions, RECs, UN agencies, civil society, academia, and organisations of older persons</w:t>
      </w:r>
    </w:p>
    <w:p w14:paraId="4A40E492" w14:textId="77777777" w:rsidR="00FE68C5" w:rsidRPr="00FE68C5" w:rsidRDefault="00FE68C5" w:rsidP="00CE13ED">
      <w:pPr>
        <w:spacing w:after="0"/>
        <w:jc w:val="both"/>
        <w:rPr>
          <w:rFonts w:ascii="Arial" w:eastAsia="Times New Roman" w:hAnsi="Arial" w:cs="Arial"/>
          <w:color w:val="1F1F1F"/>
          <w:sz w:val="24"/>
          <w:szCs w:val="24"/>
          <w:lang w:val="en-GB"/>
        </w:rPr>
      </w:pPr>
    </w:p>
    <w:p w14:paraId="79B38143" w14:textId="77777777" w:rsidR="00FE68C5" w:rsidRPr="00FE68C5" w:rsidRDefault="00FE68C5" w:rsidP="00CE13ED">
      <w:pPr>
        <w:spacing w:after="0"/>
        <w:jc w:val="both"/>
        <w:rPr>
          <w:rFonts w:ascii="Arial" w:eastAsia="Times New Roman" w:hAnsi="Arial" w:cs="Arial"/>
          <w:color w:val="1F1F1F"/>
          <w:sz w:val="24"/>
          <w:szCs w:val="24"/>
          <w:lang w:val="en-GB"/>
        </w:rPr>
      </w:pPr>
    </w:p>
    <w:p w14:paraId="31CA8A00" w14:textId="77777777" w:rsidR="00FE68C5" w:rsidRPr="00FE68C5" w:rsidRDefault="00FE68C5" w:rsidP="00CE13ED">
      <w:pPr>
        <w:spacing w:after="0"/>
        <w:jc w:val="both"/>
        <w:rPr>
          <w:rFonts w:ascii="Arial" w:eastAsia="Times New Roman" w:hAnsi="Arial" w:cs="Arial"/>
          <w:color w:val="1F1F1F"/>
          <w:sz w:val="24"/>
          <w:szCs w:val="24"/>
          <w:lang w:val="en-GB"/>
        </w:rPr>
      </w:pPr>
    </w:p>
    <w:p w14:paraId="6DDC2E6E" w14:textId="77777777" w:rsidR="00FE68C5" w:rsidRPr="00FE68C5" w:rsidRDefault="00FE68C5" w:rsidP="00CE13ED">
      <w:pPr>
        <w:spacing w:after="0"/>
        <w:jc w:val="both"/>
        <w:rPr>
          <w:rFonts w:ascii="Arial" w:eastAsia="Times New Roman" w:hAnsi="Arial" w:cs="Arial"/>
          <w:color w:val="1F1F1F"/>
          <w:sz w:val="24"/>
          <w:szCs w:val="24"/>
          <w:lang w:val="en-GB"/>
        </w:rPr>
      </w:pPr>
    </w:p>
    <w:p w14:paraId="7D70A0B8" w14:textId="77777777" w:rsidR="00FE68C5" w:rsidRPr="00FE68C5" w:rsidRDefault="00D938FA" w:rsidP="00D938FA">
      <w:pPr>
        <w:jc w:val="both"/>
        <w:rPr>
          <w:rFonts w:ascii="Arial" w:eastAsia="Times New Roman" w:hAnsi="Arial" w:cs="Arial"/>
          <w:b/>
          <w:bCs/>
          <w:color w:val="1F1F1F"/>
          <w:sz w:val="24"/>
          <w:szCs w:val="24"/>
          <w:lang w:val="en-GB"/>
        </w:rPr>
      </w:pPr>
      <w:r w:rsidRPr="00FE68C5">
        <w:rPr>
          <w:rFonts w:ascii="Arial" w:eastAsia="Times New Roman" w:hAnsi="Arial" w:cs="Arial"/>
          <w:b/>
          <w:bCs/>
          <w:color w:val="1F1F1F"/>
          <w:sz w:val="24"/>
          <w:szCs w:val="24"/>
          <w:lang w:val="en-GB"/>
        </w:rPr>
        <w:lastRenderedPageBreak/>
        <w:t>5.0.  Stakeholder Engagement and Implementing Partners</w:t>
      </w:r>
    </w:p>
    <w:p w14:paraId="6EBF5B0F" w14:textId="4DA2E679" w:rsidR="00D938FA" w:rsidRPr="00FE68C5" w:rsidRDefault="00D938FA" w:rsidP="00D938FA">
      <w:pPr>
        <w:jc w:val="both"/>
        <w:rPr>
          <w:rFonts w:ascii="Arial" w:eastAsia="Times New Roman" w:hAnsi="Arial" w:cs="Arial"/>
          <w:b/>
          <w:bCs/>
          <w:color w:val="1F1F1F"/>
          <w:sz w:val="24"/>
          <w:szCs w:val="24"/>
          <w:lang w:val="en-GB"/>
        </w:rPr>
      </w:pPr>
      <w:r w:rsidRPr="00FE68C5">
        <w:rPr>
          <w:rFonts w:ascii="Arial" w:eastAsia="Times New Roman" w:hAnsi="Arial" w:cs="Arial"/>
          <w:color w:val="1F1F1F"/>
          <w:sz w:val="24"/>
          <w:szCs w:val="24"/>
          <w:lang w:val="en-GB"/>
        </w:rPr>
        <w:t xml:space="preserve">The Pan-Africa Dialogue Series on Ageing and Development is a continental policy dialogue platform supported by the African Union Commission and implemented through a multi-partner framework involving relevant continental, regional, and international stakeholders and convened by the Dave Omokaro Foundation and co-chaired by HelpAge International. </w:t>
      </w:r>
    </w:p>
    <w:p w14:paraId="52F54F9A" w14:textId="6E4FF31A" w:rsidR="00D938FA" w:rsidRPr="00FE68C5" w:rsidRDefault="00D938FA" w:rsidP="00D938FA">
      <w:pPr>
        <w:spacing w:after="0"/>
        <w:jc w:val="both"/>
        <w:rPr>
          <w:rFonts w:ascii="Arial" w:eastAsia="Times New Roman" w:hAnsi="Arial" w:cs="Arial"/>
          <w:color w:val="1F1F1F"/>
          <w:sz w:val="24"/>
          <w:szCs w:val="24"/>
          <w:lang w:val="en-GB"/>
        </w:rPr>
      </w:pPr>
      <w:r w:rsidRPr="00FE68C5">
        <w:rPr>
          <w:rFonts w:ascii="Arial" w:eastAsia="Times New Roman" w:hAnsi="Arial" w:cs="Arial"/>
          <w:color w:val="1F1F1F"/>
          <w:sz w:val="24"/>
          <w:szCs w:val="24"/>
          <w:lang w:val="en-GB"/>
        </w:rPr>
        <w:t>In recognition of the inherently multi-sectoral and cross-cutting nature of ageing and long-term care systems, the Series is anchored in a structured multi-stakeholder partnership arrangement designed to enhance technical depth, policy relevance, and implementation effectiveness across continental, regional, and national levels. Within this framework, the following organisations provide complementary technical, normative, and operational support:</w:t>
      </w:r>
    </w:p>
    <w:p w14:paraId="4ED0F85F" w14:textId="77777777" w:rsidR="00D938FA" w:rsidRPr="00FE68C5" w:rsidRDefault="00D938FA" w:rsidP="00D938FA">
      <w:pPr>
        <w:spacing w:after="0"/>
        <w:jc w:val="both"/>
        <w:rPr>
          <w:rFonts w:ascii="Arial" w:eastAsia="Times New Roman" w:hAnsi="Arial" w:cs="Arial"/>
          <w:color w:val="1F1F1F"/>
          <w:sz w:val="10"/>
          <w:szCs w:val="10"/>
          <w:lang w:val="en-GB"/>
        </w:rPr>
      </w:pPr>
    </w:p>
    <w:p w14:paraId="5D1F05A7" w14:textId="77777777" w:rsidR="00D938FA" w:rsidRPr="00FE68C5" w:rsidRDefault="00D938FA">
      <w:pPr>
        <w:numPr>
          <w:ilvl w:val="0"/>
          <w:numId w:val="4"/>
        </w:numPr>
        <w:spacing w:after="0"/>
        <w:jc w:val="both"/>
        <w:rPr>
          <w:rFonts w:ascii="Arial" w:eastAsia="Times New Roman" w:hAnsi="Arial" w:cs="Arial"/>
          <w:color w:val="1F1F1F"/>
          <w:sz w:val="24"/>
          <w:szCs w:val="24"/>
          <w:lang w:val="en-GB"/>
        </w:rPr>
      </w:pPr>
      <w:r w:rsidRPr="00FE68C5">
        <w:rPr>
          <w:rFonts w:ascii="Arial" w:eastAsia="Times New Roman" w:hAnsi="Arial" w:cs="Arial"/>
          <w:color w:val="1F1F1F"/>
          <w:sz w:val="24"/>
          <w:szCs w:val="24"/>
          <w:lang w:val="en-GB"/>
        </w:rPr>
        <w:t>United Nations Department of Economic and Social Affairs (UN DESA)</w:t>
      </w:r>
    </w:p>
    <w:p w14:paraId="68816209" w14:textId="776AF3FC" w:rsidR="00D938FA" w:rsidRPr="00FE68C5" w:rsidRDefault="00D938FA">
      <w:pPr>
        <w:numPr>
          <w:ilvl w:val="0"/>
          <w:numId w:val="4"/>
        </w:numPr>
        <w:spacing w:after="0"/>
        <w:jc w:val="both"/>
        <w:rPr>
          <w:rFonts w:ascii="Arial" w:eastAsia="Times New Roman" w:hAnsi="Arial" w:cs="Arial"/>
          <w:color w:val="1F1F1F"/>
          <w:sz w:val="24"/>
          <w:szCs w:val="24"/>
          <w:lang w:val="en-GB"/>
        </w:rPr>
      </w:pPr>
      <w:r w:rsidRPr="00FE68C5">
        <w:rPr>
          <w:rFonts w:ascii="Arial" w:eastAsia="Times New Roman" w:hAnsi="Arial" w:cs="Arial"/>
          <w:color w:val="1F1F1F"/>
          <w:sz w:val="24"/>
          <w:szCs w:val="24"/>
          <w:lang w:val="en-GB"/>
        </w:rPr>
        <w:t>The International Institute on Ageing (INIA)</w:t>
      </w:r>
    </w:p>
    <w:p w14:paraId="7C680446" w14:textId="6B5CF71F" w:rsidR="00D938FA" w:rsidRPr="00FE68C5" w:rsidRDefault="00D938FA">
      <w:pPr>
        <w:numPr>
          <w:ilvl w:val="0"/>
          <w:numId w:val="4"/>
        </w:numPr>
        <w:spacing w:after="0"/>
        <w:jc w:val="both"/>
        <w:rPr>
          <w:rFonts w:ascii="Arial" w:eastAsia="Times New Roman" w:hAnsi="Arial" w:cs="Arial"/>
          <w:color w:val="1F1F1F"/>
          <w:sz w:val="24"/>
          <w:szCs w:val="24"/>
          <w:lang w:val="en-GB"/>
        </w:rPr>
      </w:pPr>
      <w:r w:rsidRPr="00FE68C5">
        <w:rPr>
          <w:rFonts w:ascii="Arial" w:eastAsia="Times New Roman" w:hAnsi="Arial" w:cs="Arial"/>
          <w:color w:val="1F1F1F"/>
          <w:sz w:val="24"/>
          <w:szCs w:val="24"/>
          <w:lang w:val="en-GB"/>
        </w:rPr>
        <w:t>International Federation on Ageing (IFA)</w:t>
      </w:r>
    </w:p>
    <w:p w14:paraId="3D78E532" w14:textId="77777777" w:rsidR="00D938FA" w:rsidRPr="00FE68C5" w:rsidRDefault="00D938FA">
      <w:pPr>
        <w:numPr>
          <w:ilvl w:val="0"/>
          <w:numId w:val="4"/>
        </w:numPr>
        <w:spacing w:after="0"/>
        <w:jc w:val="both"/>
        <w:rPr>
          <w:rFonts w:ascii="Arial" w:eastAsia="Times New Roman" w:hAnsi="Arial" w:cs="Arial"/>
          <w:color w:val="1F1F1F"/>
          <w:sz w:val="24"/>
          <w:szCs w:val="24"/>
          <w:lang w:val="en-GB"/>
        </w:rPr>
      </w:pPr>
      <w:r w:rsidRPr="00FE68C5">
        <w:rPr>
          <w:rFonts w:ascii="Arial" w:eastAsia="Times New Roman" w:hAnsi="Arial" w:cs="Arial"/>
          <w:color w:val="1F1F1F"/>
          <w:sz w:val="24"/>
          <w:szCs w:val="24"/>
          <w:lang w:val="en-GB"/>
        </w:rPr>
        <w:t>International Association of Gerontology and Geriatrics (IAGG)</w:t>
      </w:r>
    </w:p>
    <w:p w14:paraId="61FD7B11" w14:textId="77777777" w:rsidR="00D938FA" w:rsidRPr="00FE68C5" w:rsidRDefault="00D938FA">
      <w:pPr>
        <w:numPr>
          <w:ilvl w:val="0"/>
          <w:numId w:val="4"/>
        </w:numPr>
        <w:spacing w:after="0"/>
        <w:jc w:val="both"/>
        <w:rPr>
          <w:rFonts w:ascii="Arial" w:eastAsia="Times New Roman" w:hAnsi="Arial" w:cs="Arial"/>
          <w:color w:val="1F1F1F"/>
          <w:sz w:val="24"/>
          <w:szCs w:val="24"/>
          <w:lang w:val="en-GB"/>
        </w:rPr>
      </w:pPr>
      <w:r w:rsidRPr="00FE68C5">
        <w:rPr>
          <w:rFonts w:ascii="Arial" w:eastAsia="Times New Roman" w:hAnsi="Arial" w:cs="Arial"/>
          <w:color w:val="1F1F1F"/>
          <w:sz w:val="24"/>
          <w:szCs w:val="24"/>
          <w:lang w:val="en-GB"/>
        </w:rPr>
        <w:t>Other relevant international, regional, and civil society organisations working on ageing, long-term care, and social protection systems</w:t>
      </w:r>
    </w:p>
    <w:p w14:paraId="29CD6AF7" w14:textId="77777777" w:rsidR="00D938FA" w:rsidRPr="00FE68C5" w:rsidRDefault="00D938FA" w:rsidP="00D938FA">
      <w:pPr>
        <w:spacing w:after="0"/>
        <w:jc w:val="both"/>
        <w:rPr>
          <w:rFonts w:ascii="Arial" w:eastAsia="Times New Roman" w:hAnsi="Arial" w:cs="Arial"/>
          <w:color w:val="1F1F1F"/>
          <w:sz w:val="24"/>
          <w:szCs w:val="24"/>
          <w:lang w:val="en-GB"/>
        </w:rPr>
      </w:pPr>
    </w:p>
    <w:p w14:paraId="54671517" w14:textId="41D52A88" w:rsidR="00D938FA" w:rsidRPr="00FE68C5" w:rsidRDefault="00D938FA" w:rsidP="00D938FA">
      <w:pPr>
        <w:spacing w:after="0"/>
        <w:jc w:val="both"/>
        <w:rPr>
          <w:rFonts w:ascii="Arial" w:eastAsia="Times New Roman" w:hAnsi="Arial" w:cs="Arial"/>
          <w:color w:val="1F1F1F"/>
          <w:sz w:val="24"/>
          <w:szCs w:val="24"/>
          <w:lang w:val="en-GB"/>
        </w:rPr>
      </w:pPr>
      <w:r w:rsidRPr="00FE68C5">
        <w:rPr>
          <w:rFonts w:ascii="Arial" w:eastAsia="Times New Roman" w:hAnsi="Arial" w:cs="Arial"/>
          <w:color w:val="1F1F1F"/>
          <w:sz w:val="24"/>
          <w:szCs w:val="24"/>
          <w:lang w:val="en-GB"/>
        </w:rPr>
        <w:t>These stakeholders contribute through technical expertise, applied research, policy advocacy, capacity strengthening, and implementation support. Their engagement reinforces the objectives of the Madrid International Plan of Action on Ageing (MIPAA) through evidence generation, policy advisory inputs, and programme innovation. It further strengthens the participatory and bottom-up approach envisaged under MIPAA, while supporting Member States in the development of inclusive, coordinated, and sustainable policy responses on ageing and long-term care systems.</w:t>
      </w:r>
    </w:p>
    <w:p w14:paraId="03EBC932" w14:textId="11A0EC00" w:rsidR="00D938FA" w:rsidRPr="00FE68C5" w:rsidRDefault="00D938FA" w:rsidP="00CE13ED">
      <w:pPr>
        <w:spacing w:after="0"/>
        <w:jc w:val="both"/>
        <w:rPr>
          <w:rFonts w:ascii="Arial" w:eastAsia="Times New Roman" w:hAnsi="Arial" w:cs="Arial"/>
          <w:color w:val="1F1F1F"/>
          <w:sz w:val="32"/>
          <w:szCs w:val="32"/>
          <w:lang w:val="en-GB"/>
        </w:rPr>
      </w:pPr>
    </w:p>
    <w:p w14:paraId="415DCF8E" w14:textId="42CB28F2" w:rsidR="00D938FA" w:rsidRPr="00FE68C5" w:rsidRDefault="00D938FA" w:rsidP="00D938FA">
      <w:pPr>
        <w:spacing w:after="0"/>
        <w:jc w:val="both"/>
        <w:rPr>
          <w:rFonts w:ascii="Arial" w:eastAsia="Times New Roman" w:hAnsi="Arial" w:cs="Arial"/>
          <w:b/>
          <w:bCs/>
          <w:color w:val="1F1F1F"/>
          <w:sz w:val="24"/>
          <w:szCs w:val="24"/>
          <w:lang w:val="en-GB"/>
        </w:rPr>
      </w:pPr>
      <w:r w:rsidRPr="00FE68C5">
        <w:rPr>
          <w:rFonts w:ascii="Arial" w:eastAsia="Times New Roman" w:hAnsi="Arial" w:cs="Arial"/>
          <w:b/>
          <w:bCs/>
          <w:color w:val="1F1F1F"/>
          <w:sz w:val="24"/>
          <w:szCs w:val="24"/>
          <w:lang w:val="en-GB"/>
        </w:rPr>
        <w:t>6.0.  Conclusion</w:t>
      </w:r>
    </w:p>
    <w:p w14:paraId="4844302F" w14:textId="77777777" w:rsidR="00D938FA" w:rsidRPr="00FE68C5" w:rsidRDefault="00D938FA" w:rsidP="00D938FA">
      <w:pPr>
        <w:spacing w:after="0"/>
        <w:jc w:val="both"/>
        <w:rPr>
          <w:rFonts w:ascii="Arial" w:eastAsia="Times New Roman" w:hAnsi="Arial" w:cs="Arial"/>
          <w:b/>
          <w:bCs/>
          <w:color w:val="1F1F1F"/>
          <w:sz w:val="18"/>
          <w:szCs w:val="18"/>
          <w:lang w:val="en-GB"/>
        </w:rPr>
      </w:pPr>
    </w:p>
    <w:p w14:paraId="46F03EC5" w14:textId="77777777" w:rsidR="00D938FA" w:rsidRPr="00FE68C5" w:rsidRDefault="00D938FA" w:rsidP="00D938FA">
      <w:pPr>
        <w:spacing w:after="0"/>
        <w:jc w:val="both"/>
        <w:rPr>
          <w:rFonts w:ascii="Arial" w:eastAsia="Times New Roman" w:hAnsi="Arial" w:cs="Arial"/>
          <w:color w:val="1F1F1F"/>
          <w:sz w:val="24"/>
          <w:szCs w:val="24"/>
          <w:lang w:val="en-GB"/>
        </w:rPr>
      </w:pPr>
      <w:r w:rsidRPr="00FE68C5">
        <w:rPr>
          <w:rFonts w:ascii="Arial" w:eastAsia="Times New Roman" w:hAnsi="Arial" w:cs="Arial"/>
          <w:color w:val="1F1F1F"/>
          <w:sz w:val="24"/>
          <w:szCs w:val="24"/>
          <w:lang w:val="en-GB"/>
        </w:rPr>
        <w:t>The Pan-Africa Dialogue Series on Ageing and Development provides a structured platform for advancing evidence-based policy dialogue, strengthening normative coherence, and enhancing coordination on ageing across Africa. The forthcoming Session 06 and UNDESA-supported activities represent a critical step in operationalising continental and global commitments and reinforcing Member States’ capacity to implement MIPAA-aligned priorities.</w:t>
      </w:r>
    </w:p>
    <w:p w14:paraId="09A4F0A6" w14:textId="7DF35357" w:rsidR="00D938FA" w:rsidRPr="00FE68C5" w:rsidRDefault="00D938FA" w:rsidP="00D938FA">
      <w:pPr>
        <w:spacing w:after="0"/>
        <w:jc w:val="both"/>
        <w:rPr>
          <w:rFonts w:ascii="Arial" w:eastAsia="Times New Roman" w:hAnsi="Arial" w:cs="Arial"/>
          <w:color w:val="1F1F1F"/>
          <w:sz w:val="32"/>
          <w:szCs w:val="32"/>
          <w:lang w:val="en-GB"/>
        </w:rPr>
      </w:pPr>
    </w:p>
    <w:p w14:paraId="17B0C50F" w14:textId="77777777" w:rsidR="00D938FA" w:rsidRPr="00FE68C5" w:rsidRDefault="00D938FA" w:rsidP="00D938FA">
      <w:pPr>
        <w:spacing w:after="0"/>
        <w:jc w:val="both"/>
        <w:rPr>
          <w:rFonts w:ascii="Arial" w:eastAsia="Times New Roman" w:hAnsi="Arial" w:cs="Arial"/>
          <w:b/>
          <w:bCs/>
          <w:color w:val="1F1F1F"/>
          <w:sz w:val="24"/>
          <w:szCs w:val="24"/>
          <w:lang w:val="en-GB"/>
        </w:rPr>
      </w:pPr>
      <w:r w:rsidRPr="00FE68C5">
        <w:rPr>
          <w:rFonts w:ascii="Arial" w:eastAsia="Times New Roman" w:hAnsi="Arial" w:cs="Arial"/>
          <w:b/>
          <w:bCs/>
          <w:color w:val="1F1F1F"/>
          <w:sz w:val="24"/>
          <w:szCs w:val="24"/>
          <w:lang w:val="en-GB"/>
        </w:rPr>
        <w:t>STC Recommendations</w:t>
      </w:r>
    </w:p>
    <w:p w14:paraId="0C635A4C" w14:textId="77777777" w:rsidR="00D938FA" w:rsidRPr="00FE68C5" w:rsidRDefault="00D938FA" w:rsidP="00D938FA">
      <w:pPr>
        <w:spacing w:after="0"/>
        <w:jc w:val="both"/>
        <w:rPr>
          <w:rFonts w:ascii="Arial" w:eastAsia="Times New Roman" w:hAnsi="Arial" w:cs="Arial"/>
          <w:color w:val="1F1F1F"/>
          <w:sz w:val="18"/>
          <w:szCs w:val="18"/>
          <w:lang w:val="en-GB"/>
        </w:rPr>
      </w:pPr>
    </w:p>
    <w:p w14:paraId="50354F15" w14:textId="080F4ABC" w:rsidR="00FE68C5" w:rsidRPr="00FE68C5" w:rsidRDefault="00D938FA" w:rsidP="00FE68C5">
      <w:pPr>
        <w:spacing w:after="0"/>
        <w:jc w:val="both"/>
        <w:rPr>
          <w:rFonts w:ascii="Arial" w:eastAsia="Times New Roman" w:hAnsi="Arial" w:cs="Arial"/>
          <w:color w:val="1F1F1F"/>
          <w:sz w:val="24"/>
          <w:szCs w:val="24"/>
          <w:lang w:val="en-GB"/>
        </w:rPr>
      </w:pPr>
      <w:r w:rsidRPr="00FE68C5">
        <w:rPr>
          <w:rFonts w:ascii="Arial" w:eastAsia="Times New Roman" w:hAnsi="Arial" w:cs="Arial"/>
          <w:color w:val="1F1F1F"/>
          <w:sz w:val="24"/>
          <w:szCs w:val="24"/>
          <w:lang w:val="en-GB"/>
        </w:rPr>
        <w:t>The STC may wish to</w:t>
      </w:r>
      <w:r w:rsidR="00FE68C5" w:rsidRPr="00FE68C5">
        <w:rPr>
          <w:rFonts w:ascii="Arial" w:eastAsia="Times New Roman" w:hAnsi="Arial" w:cs="Arial"/>
          <w:color w:val="1F1F1F"/>
          <w:sz w:val="24"/>
          <w:szCs w:val="24"/>
          <w:lang w:val="en-GB"/>
        </w:rPr>
        <w:t xml:space="preserve"> consider</w:t>
      </w:r>
      <w:r w:rsidR="00FE68C5" w:rsidRPr="00FE68C5">
        <w:rPr>
          <w:rFonts w:ascii="Arial" w:eastAsia="Times New Roman" w:hAnsi="Arial" w:cs="Arial"/>
          <w:b/>
          <w:bCs/>
          <w:color w:val="1F1F1F"/>
          <w:sz w:val="24"/>
          <w:szCs w:val="24"/>
          <w:lang w:val="en-GB"/>
        </w:rPr>
        <w:t xml:space="preserve"> </w:t>
      </w:r>
      <w:r w:rsidR="00FE68C5" w:rsidRPr="00FE68C5">
        <w:rPr>
          <w:rFonts w:ascii="Arial" w:eastAsia="Times New Roman" w:hAnsi="Arial" w:cs="Arial"/>
          <w:color w:val="1F1F1F"/>
          <w:sz w:val="24"/>
          <w:szCs w:val="24"/>
          <w:lang w:val="en-GB"/>
        </w:rPr>
        <w:t>the following, in alignment with the </w:t>
      </w:r>
      <w:r w:rsidR="00FE68C5" w:rsidRPr="00FE68C5">
        <w:rPr>
          <w:rFonts w:ascii="Arial" w:eastAsia="Times New Roman" w:hAnsi="Arial" w:cs="Arial"/>
          <w:b/>
          <w:bCs/>
          <w:color w:val="1F1F1F"/>
          <w:sz w:val="24"/>
          <w:szCs w:val="24"/>
          <w:lang w:val="en-GB"/>
        </w:rPr>
        <w:t>Madrid International Plan of Action on Ageing (MIPAA)</w:t>
      </w:r>
      <w:r w:rsidR="00FE68C5" w:rsidRPr="00FE68C5">
        <w:rPr>
          <w:rFonts w:ascii="Arial" w:eastAsia="Times New Roman" w:hAnsi="Arial" w:cs="Arial"/>
          <w:color w:val="1F1F1F"/>
          <w:sz w:val="24"/>
          <w:szCs w:val="24"/>
          <w:lang w:val="en-GB"/>
        </w:rPr>
        <w:t> and in furtherance of the </w:t>
      </w:r>
      <w:r w:rsidR="00FE68C5" w:rsidRPr="00FE68C5">
        <w:rPr>
          <w:rFonts w:ascii="Arial" w:eastAsia="Times New Roman" w:hAnsi="Arial" w:cs="Arial"/>
          <w:b/>
          <w:bCs/>
          <w:color w:val="1F1F1F"/>
          <w:sz w:val="24"/>
          <w:szCs w:val="24"/>
          <w:lang w:val="en-GB"/>
        </w:rPr>
        <w:t>United Nations General Assembly Resolution A/C.3/80/L.5/REV1 on the Second World Assembly on Ageing (77th Session, China-led initiative)</w:t>
      </w:r>
      <w:r w:rsidR="00FE68C5" w:rsidRPr="00FE68C5">
        <w:rPr>
          <w:rFonts w:ascii="Arial" w:eastAsia="Times New Roman" w:hAnsi="Arial" w:cs="Arial"/>
          <w:color w:val="1F1F1F"/>
          <w:sz w:val="24"/>
          <w:szCs w:val="24"/>
          <w:lang w:val="en-GB"/>
        </w:rPr>
        <w:t>, which reinforces global commitment to strengthened implementation, international cooperation, and inclusive responses to population ageing:</w:t>
      </w:r>
    </w:p>
    <w:p w14:paraId="5FC8E331" w14:textId="77777777" w:rsidR="00FE68C5" w:rsidRPr="00FE68C5" w:rsidRDefault="00FE68C5" w:rsidP="00FE68C5">
      <w:pPr>
        <w:spacing w:after="0"/>
        <w:jc w:val="both"/>
        <w:rPr>
          <w:rFonts w:ascii="Arial" w:eastAsia="Times New Roman" w:hAnsi="Arial" w:cs="Arial"/>
          <w:color w:val="1F1F1F"/>
          <w:sz w:val="10"/>
          <w:szCs w:val="10"/>
          <w:lang w:val="en-GB"/>
        </w:rPr>
      </w:pPr>
    </w:p>
    <w:p w14:paraId="30D4ED96" w14:textId="77777777" w:rsidR="00FE68C5" w:rsidRPr="00FE68C5" w:rsidRDefault="00FE68C5">
      <w:pPr>
        <w:numPr>
          <w:ilvl w:val="0"/>
          <w:numId w:val="5"/>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lastRenderedPageBreak/>
        <w:t>Take note of the ongoing implementation of the Pan-Africa Dialogue Series on Ageing and Development</w:t>
      </w:r>
      <w:r w:rsidRPr="00FE68C5">
        <w:rPr>
          <w:rFonts w:ascii="Arial" w:eastAsia="Times New Roman" w:hAnsi="Arial" w:cs="Arial"/>
          <w:color w:val="1F1F1F"/>
          <w:sz w:val="24"/>
          <w:szCs w:val="24"/>
          <w:lang w:val="en-GB"/>
        </w:rPr>
        <w:t> as a continental platform contributing to MIPAA review processes, policy coherence, and structured multi-stakeholder engagement in line with global commitments reaffirmed under A/C.3/80/L.5/REV1;</w:t>
      </w:r>
    </w:p>
    <w:p w14:paraId="470BF579" w14:textId="77777777" w:rsidR="00FE68C5" w:rsidRPr="00FE68C5" w:rsidRDefault="00FE68C5" w:rsidP="00FE68C5">
      <w:pPr>
        <w:spacing w:after="0"/>
        <w:ind w:left="360"/>
        <w:jc w:val="both"/>
        <w:rPr>
          <w:rFonts w:ascii="Arial" w:eastAsia="Times New Roman" w:hAnsi="Arial" w:cs="Arial"/>
          <w:color w:val="1F1F1F"/>
          <w:sz w:val="10"/>
          <w:szCs w:val="10"/>
          <w:lang w:val="en-GB"/>
        </w:rPr>
      </w:pPr>
    </w:p>
    <w:p w14:paraId="2827B491" w14:textId="3BFBD44A" w:rsidR="00FE68C5" w:rsidRPr="00FE68C5" w:rsidRDefault="00FE68C5">
      <w:pPr>
        <w:numPr>
          <w:ilvl w:val="0"/>
          <w:numId w:val="5"/>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Support the development and operationalisation of the Common African Position on Ageing</w:t>
      </w:r>
      <w:r w:rsidRPr="00FE68C5">
        <w:rPr>
          <w:rFonts w:ascii="Arial" w:eastAsia="Times New Roman" w:hAnsi="Arial" w:cs="Arial"/>
          <w:color w:val="1F1F1F"/>
          <w:sz w:val="24"/>
          <w:szCs w:val="24"/>
          <w:lang w:val="en-GB"/>
        </w:rPr>
        <w:t>, as a strategic continental framework to guide coherent, rights-based, and coordinated implementation of MIPAA priorities across Member States;</w:t>
      </w:r>
    </w:p>
    <w:p w14:paraId="1E363599" w14:textId="77777777" w:rsidR="00FE68C5" w:rsidRPr="00FE68C5" w:rsidRDefault="00FE68C5" w:rsidP="00FE68C5">
      <w:pPr>
        <w:spacing w:after="0"/>
        <w:ind w:left="360"/>
        <w:jc w:val="both"/>
        <w:rPr>
          <w:rFonts w:ascii="Arial" w:eastAsia="Times New Roman" w:hAnsi="Arial" w:cs="Arial"/>
          <w:color w:val="1F1F1F"/>
          <w:sz w:val="10"/>
          <w:szCs w:val="10"/>
          <w:lang w:val="en-GB"/>
        </w:rPr>
      </w:pPr>
    </w:p>
    <w:p w14:paraId="1646F3A6" w14:textId="77777777" w:rsidR="00FE68C5" w:rsidRPr="00FE68C5" w:rsidRDefault="00FE68C5">
      <w:pPr>
        <w:numPr>
          <w:ilvl w:val="0"/>
          <w:numId w:val="5"/>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Encourage the ratification and accelerated implementation of the Protocol to the African Charter on Human and Peoples’ Rights on the Rights of Older Persons in Africa</w:t>
      </w:r>
      <w:r w:rsidRPr="00FE68C5">
        <w:rPr>
          <w:rFonts w:ascii="Arial" w:eastAsia="Times New Roman" w:hAnsi="Arial" w:cs="Arial"/>
          <w:color w:val="1F1F1F"/>
          <w:sz w:val="24"/>
          <w:szCs w:val="24"/>
          <w:lang w:val="en-GB"/>
        </w:rPr>
        <w:t>, as a key normative instrument for strengthening legal protection, social inclusion, and rights-based ageing governance at national level;</w:t>
      </w:r>
    </w:p>
    <w:p w14:paraId="361B68F3" w14:textId="77777777" w:rsidR="00FE68C5" w:rsidRPr="00FE68C5" w:rsidRDefault="00FE68C5" w:rsidP="00FE68C5">
      <w:pPr>
        <w:spacing w:after="0"/>
        <w:jc w:val="both"/>
        <w:rPr>
          <w:rFonts w:ascii="Arial" w:eastAsia="Times New Roman" w:hAnsi="Arial" w:cs="Arial"/>
          <w:color w:val="1F1F1F"/>
          <w:sz w:val="10"/>
          <w:szCs w:val="10"/>
          <w:lang w:val="en-GB"/>
        </w:rPr>
      </w:pPr>
    </w:p>
    <w:p w14:paraId="3AFDDA08" w14:textId="77777777" w:rsidR="00FE68C5" w:rsidRPr="00FE68C5" w:rsidRDefault="00FE68C5">
      <w:pPr>
        <w:numPr>
          <w:ilvl w:val="0"/>
          <w:numId w:val="5"/>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Endorse coordinated, rights-based, and evidence-informed approaches to ageing</w:t>
      </w:r>
      <w:r w:rsidRPr="00FE68C5">
        <w:rPr>
          <w:rFonts w:ascii="Arial" w:eastAsia="Times New Roman" w:hAnsi="Arial" w:cs="Arial"/>
          <w:color w:val="1F1F1F"/>
          <w:sz w:val="24"/>
          <w:szCs w:val="24"/>
          <w:lang w:val="en-GB"/>
        </w:rPr>
        <w:t>, consistent with MIPAA priority areas on older persons and development, health and well-being in older age, and enabling environments for older persons;</w:t>
      </w:r>
    </w:p>
    <w:p w14:paraId="56704C90" w14:textId="77777777" w:rsidR="00FE68C5" w:rsidRPr="00FE68C5" w:rsidRDefault="00FE68C5" w:rsidP="00FE68C5">
      <w:pPr>
        <w:spacing w:after="0"/>
        <w:jc w:val="both"/>
        <w:rPr>
          <w:rFonts w:ascii="Arial" w:eastAsia="Times New Roman" w:hAnsi="Arial" w:cs="Arial"/>
          <w:color w:val="1F1F1F"/>
          <w:sz w:val="10"/>
          <w:szCs w:val="10"/>
          <w:lang w:val="en-GB"/>
        </w:rPr>
      </w:pPr>
    </w:p>
    <w:p w14:paraId="0C8BD755" w14:textId="77777777" w:rsidR="00FE68C5" w:rsidRPr="00FE68C5" w:rsidRDefault="00FE68C5" w:rsidP="00FE68C5">
      <w:pPr>
        <w:spacing w:after="0"/>
        <w:jc w:val="both"/>
        <w:rPr>
          <w:rFonts w:ascii="Arial" w:eastAsia="Times New Roman" w:hAnsi="Arial" w:cs="Arial"/>
          <w:color w:val="1F1F1F"/>
          <w:sz w:val="10"/>
          <w:szCs w:val="10"/>
          <w:lang w:val="en-GB"/>
        </w:rPr>
      </w:pPr>
    </w:p>
    <w:p w14:paraId="6622D8FF" w14:textId="77777777" w:rsidR="00FE68C5" w:rsidRPr="00FE68C5" w:rsidRDefault="00FE68C5">
      <w:pPr>
        <w:numPr>
          <w:ilvl w:val="0"/>
          <w:numId w:val="5"/>
        </w:numPr>
        <w:spacing w:after="0"/>
        <w:jc w:val="both"/>
        <w:rPr>
          <w:rFonts w:ascii="Arial" w:eastAsia="Times New Roman" w:hAnsi="Arial" w:cs="Arial"/>
          <w:color w:val="1F1F1F"/>
          <w:sz w:val="24"/>
          <w:szCs w:val="24"/>
          <w:lang w:val="en-GB"/>
        </w:rPr>
      </w:pPr>
      <w:r w:rsidRPr="00FE68C5">
        <w:rPr>
          <w:rFonts w:ascii="Arial" w:eastAsia="Times New Roman" w:hAnsi="Arial" w:cs="Arial"/>
          <w:b/>
          <w:bCs/>
          <w:color w:val="1F1F1F"/>
          <w:sz w:val="24"/>
          <w:szCs w:val="24"/>
          <w:lang w:val="en-GB"/>
        </w:rPr>
        <w:t>Support the systematic mainstreaming of ageing</w:t>
      </w:r>
      <w:r w:rsidRPr="00FE68C5">
        <w:rPr>
          <w:rFonts w:ascii="Arial" w:eastAsia="Times New Roman" w:hAnsi="Arial" w:cs="Arial"/>
          <w:color w:val="1F1F1F"/>
          <w:sz w:val="24"/>
          <w:szCs w:val="24"/>
          <w:lang w:val="en-GB"/>
        </w:rPr>
        <w:t> into relevant continental, regional, and national policy, legal, and programmatic frameworks, including social protection, health systems, long-term care, and inclusive development strategies, in line with MIPAA implementation imperatives and global commitments on the Second World Assembly on Ageing process.</w:t>
      </w:r>
    </w:p>
    <w:p w14:paraId="58B27CEE" w14:textId="77777777" w:rsidR="00D938FA" w:rsidRPr="00FE68C5" w:rsidRDefault="00D938FA" w:rsidP="00CE13ED">
      <w:pPr>
        <w:spacing w:after="0"/>
        <w:jc w:val="both"/>
        <w:rPr>
          <w:rFonts w:ascii="Arial" w:eastAsia="Times New Roman" w:hAnsi="Arial" w:cs="Arial"/>
          <w:color w:val="1F1F1F"/>
          <w:sz w:val="24"/>
          <w:szCs w:val="24"/>
          <w:lang w:val="en-GB"/>
        </w:rPr>
      </w:pPr>
    </w:p>
    <w:sectPr w:rsidR="00D938FA" w:rsidRPr="00FE68C5">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33E35" w14:textId="77777777" w:rsidR="00BD420C" w:rsidRDefault="00BD420C" w:rsidP="00B3499A">
      <w:pPr>
        <w:spacing w:after="0" w:line="240" w:lineRule="auto"/>
      </w:pPr>
      <w:r>
        <w:separator/>
      </w:r>
    </w:p>
  </w:endnote>
  <w:endnote w:type="continuationSeparator" w:id="0">
    <w:p w14:paraId="6435B004" w14:textId="77777777" w:rsidR="00BD420C" w:rsidRDefault="00BD420C" w:rsidP="00B34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7469434"/>
      <w:docPartObj>
        <w:docPartGallery w:val="Page Numbers (Bottom of Page)"/>
        <w:docPartUnique/>
      </w:docPartObj>
    </w:sdtPr>
    <w:sdtEndPr>
      <w:rPr>
        <w:rStyle w:val="PageNumber"/>
      </w:rPr>
    </w:sdtEndPr>
    <w:sdtContent>
      <w:p w14:paraId="57E65255" w14:textId="7F73BDD8" w:rsidR="009A2550" w:rsidRDefault="009A2550" w:rsidP="009A255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ABAEF19" w14:textId="77777777" w:rsidR="009A2550" w:rsidRDefault="009A2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rPr>
      <w:id w:val="768583268"/>
      <w:docPartObj>
        <w:docPartGallery w:val="Page Numbers (Bottom of Page)"/>
        <w:docPartUnique/>
      </w:docPartObj>
    </w:sdtPr>
    <w:sdtEndPr>
      <w:rPr>
        <w:rStyle w:val="PageNumber"/>
      </w:rPr>
    </w:sdtEndPr>
    <w:sdtContent>
      <w:p w14:paraId="7D29D83E" w14:textId="5953F0DE" w:rsidR="009A2550" w:rsidRPr="009A2550" w:rsidRDefault="009A2550" w:rsidP="009A2550">
        <w:pPr>
          <w:pStyle w:val="Footer"/>
          <w:framePr w:wrap="none" w:vAnchor="text" w:hAnchor="margin" w:xAlign="center" w:y="1"/>
          <w:rPr>
            <w:rStyle w:val="PageNumber"/>
            <w:rFonts w:ascii="Arial" w:hAnsi="Arial" w:cs="Arial"/>
          </w:rPr>
        </w:pPr>
        <w:r w:rsidRPr="009A2550">
          <w:rPr>
            <w:rStyle w:val="PageNumber"/>
            <w:rFonts w:ascii="Arial" w:hAnsi="Arial" w:cs="Arial"/>
          </w:rPr>
          <w:fldChar w:fldCharType="begin"/>
        </w:r>
        <w:r w:rsidRPr="009A2550">
          <w:rPr>
            <w:rStyle w:val="PageNumber"/>
            <w:rFonts w:ascii="Arial" w:hAnsi="Arial" w:cs="Arial"/>
          </w:rPr>
          <w:instrText xml:space="preserve"> PAGE </w:instrText>
        </w:r>
        <w:r w:rsidRPr="009A2550">
          <w:rPr>
            <w:rStyle w:val="PageNumber"/>
            <w:rFonts w:ascii="Arial" w:hAnsi="Arial" w:cs="Arial"/>
          </w:rPr>
          <w:fldChar w:fldCharType="separate"/>
        </w:r>
        <w:r w:rsidRPr="009A2550">
          <w:rPr>
            <w:rStyle w:val="PageNumber"/>
            <w:rFonts w:ascii="Arial" w:hAnsi="Arial" w:cs="Arial"/>
            <w:noProof/>
          </w:rPr>
          <w:t>1</w:t>
        </w:r>
        <w:r w:rsidRPr="009A2550">
          <w:rPr>
            <w:rStyle w:val="PageNumber"/>
            <w:rFonts w:ascii="Arial" w:hAnsi="Arial" w:cs="Arial"/>
          </w:rPr>
          <w:fldChar w:fldCharType="end"/>
        </w:r>
      </w:p>
    </w:sdtContent>
  </w:sdt>
  <w:p w14:paraId="77D7A4B4" w14:textId="77777777" w:rsidR="009A2550" w:rsidRDefault="009A2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A9A52" w14:textId="77777777" w:rsidR="00BD420C" w:rsidRDefault="00BD420C" w:rsidP="00B3499A">
      <w:pPr>
        <w:spacing w:after="0" w:line="240" w:lineRule="auto"/>
      </w:pPr>
      <w:r>
        <w:separator/>
      </w:r>
    </w:p>
  </w:footnote>
  <w:footnote w:type="continuationSeparator" w:id="0">
    <w:p w14:paraId="6E1F5316" w14:textId="77777777" w:rsidR="00BD420C" w:rsidRDefault="00BD420C" w:rsidP="00B349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319B"/>
    <w:multiLevelType w:val="multilevel"/>
    <w:tmpl w:val="7172A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3857BD"/>
    <w:multiLevelType w:val="multilevel"/>
    <w:tmpl w:val="56961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7726CA"/>
    <w:multiLevelType w:val="hybridMultilevel"/>
    <w:tmpl w:val="E876A44A"/>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042859"/>
    <w:multiLevelType w:val="multilevel"/>
    <w:tmpl w:val="4B4C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9633C0"/>
    <w:multiLevelType w:val="multilevel"/>
    <w:tmpl w:val="35D22D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494494906">
    <w:abstractNumId w:val="4"/>
  </w:num>
  <w:num w:numId="2" w16cid:durableId="1504083520">
    <w:abstractNumId w:val="2"/>
  </w:num>
  <w:num w:numId="3" w16cid:durableId="1546214603">
    <w:abstractNumId w:val="3"/>
  </w:num>
  <w:num w:numId="4" w16cid:durableId="643582092">
    <w:abstractNumId w:val="0"/>
  </w:num>
  <w:num w:numId="5" w16cid:durableId="212337964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655"/>
    <w:rsid w:val="0000498E"/>
    <w:rsid w:val="00071A6E"/>
    <w:rsid w:val="00074C8A"/>
    <w:rsid w:val="000A36EF"/>
    <w:rsid w:val="000B2548"/>
    <w:rsid w:val="000B4E59"/>
    <w:rsid w:val="000D2330"/>
    <w:rsid w:val="000E392B"/>
    <w:rsid w:val="00142ABA"/>
    <w:rsid w:val="001512F1"/>
    <w:rsid w:val="001807EF"/>
    <w:rsid w:val="001A5552"/>
    <w:rsid w:val="00206FE0"/>
    <w:rsid w:val="0023453C"/>
    <w:rsid w:val="0025332B"/>
    <w:rsid w:val="0027430D"/>
    <w:rsid w:val="00290A8B"/>
    <w:rsid w:val="002A10D8"/>
    <w:rsid w:val="002B7DE6"/>
    <w:rsid w:val="002F3EF6"/>
    <w:rsid w:val="00343431"/>
    <w:rsid w:val="0037043E"/>
    <w:rsid w:val="00370EB2"/>
    <w:rsid w:val="003A7B15"/>
    <w:rsid w:val="003B3FE1"/>
    <w:rsid w:val="003C72E7"/>
    <w:rsid w:val="003E57DD"/>
    <w:rsid w:val="0040302C"/>
    <w:rsid w:val="0046132D"/>
    <w:rsid w:val="00461653"/>
    <w:rsid w:val="00480B49"/>
    <w:rsid w:val="005147CD"/>
    <w:rsid w:val="005A7D47"/>
    <w:rsid w:val="005C009B"/>
    <w:rsid w:val="0060183F"/>
    <w:rsid w:val="00633209"/>
    <w:rsid w:val="006641B8"/>
    <w:rsid w:val="006F51E4"/>
    <w:rsid w:val="006F7A60"/>
    <w:rsid w:val="00727CEF"/>
    <w:rsid w:val="007C69BF"/>
    <w:rsid w:val="007E3425"/>
    <w:rsid w:val="008326D2"/>
    <w:rsid w:val="00867C43"/>
    <w:rsid w:val="00940060"/>
    <w:rsid w:val="009775DC"/>
    <w:rsid w:val="009A2550"/>
    <w:rsid w:val="009C7DAF"/>
    <w:rsid w:val="009F1655"/>
    <w:rsid w:val="00A03253"/>
    <w:rsid w:val="00A41194"/>
    <w:rsid w:val="00AB5560"/>
    <w:rsid w:val="00AD6A12"/>
    <w:rsid w:val="00AD73AA"/>
    <w:rsid w:val="00B05411"/>
    <w:rsid w:val="00B24164"/>
    <w:rsid w:val="00B3499A"/>
    <w:rsid w:val="00BD420C"/>
    <w:rsid w:val="00BD6D54"/>
    <w:rsid w:val="00C40ECA"/>
    <w:rsid w:val="00CD1AEF"/>
    <w:rsid w:val="00CE13ED"/>
    <w:rsid w:val="00CE38D5"/>
    <w:rsid w:val="00CE74D8"/>
    <w:rsid w:val="00CF70E2"/>
    <w:rsid w:val="00D23A70"/>
    <w:rsid w:val="00D32ECE"/>
    <w:rsid w:val="00D938FA"/>
    <w:rsid w:val="00D978F3"/>
    <w:rsid w:val="00DA2C55"/>
    <w:rsid w:val="00E738F4"/>
    <w:rsid w:val="00E803D8"/>
    <w:rsid w:val="00E94451"/>
    <w:rsid w:val="00EA53EC"/>
    <w:rsid w:val="00EA7531"/>
    <w:rsid w:val="00EC2B30"/>
    <w:rsid w:val="00F17789"/>
    <w:rsid w:val="00F22FC3"/>
    <w:rsid w:val="00F7508D"/>
    <w:rsid w:val="00FC6514"/>
    <w:rsid w:val="00FE6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412A0"/>
  <w15:chartTrackingRefBased/>
  <w15:docId w15:val="{F93A9CED-DE6D-4EB9-B814-6FFF57057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80B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9F165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F165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F165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F1655"/>
    <w:rPr>
      <w:rFonts w:ascii="Times New Roman" w:eastAsia="Times New Roman" w:hAnsi="Times New Roman" w:cs="Times New Roman"/>
      <w:b/>
      <w:bCs/>
      <w:sz w:val="24"/>
      <w:szCs w:val="24"/>
    </w:rPr>
  </w:style>
  <w:style w:type="paragraph" w:customStyle="1" w:styleId="ng-tns-c1641678616-24">
    <w:name w:val="ng-tns-c1641678616-24"/>
    <w:basedOn w:val="Normal"/>
    <w:rsid w:val="009F165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9F16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66">
    <w:name w:val="citation-166"/>
    <w:basedOn w:val="DefaultParagraphFont"/>
    <w:rsid w:val="009F1655"/>
  </w:style>
  <w:style w:type="character" w:customStyle="1" w:styleId="button-label">
    <w:name w:val="button-label"/>
    <w:basedOn w:val="DefaultParagraphFont"/>
    <w:rsid w:val="009F1655"/>
  </w:style>
  <w:style w:type="character" w:customStyle="1" w:styleId="citation-165">
    <w:name w:val="citation-165"/>
    <w:basedOn w:val="DefaultParagraphFont"/>
    <w:rsid w:val="009F1655"/>
  </w:style>
  <w:style w:type="character" w:customStyle="1" w:styleId="citation-164">
    <w:name w:val="citation-164"/>
    <w:basedOn w:val="DefaultParagraphFont"/>
    <w:rsid w:val="009F1655"/>
  </w:style>
  <w:style w:type="character" w:customStyle="1" w:styleId="citation-163">
    <w:name w:val="citation-163"/>
    <w:basedOn w:val="DefaultParagraphFont"/>
    <w:rsid w:val="009F1655"/>
  </w:style>
  <w:style w:type="character" w:customStyle="1" w:styleId="citation-162">
    <w:name w:val="citation-162"/>
    <w:basedOn w:val="DefaultParagraphFont"/>
    <w:rsid w:val="009F1655"/>
  </w:style>
  <w:style w:type="character" w:customStyle="1" w:styleId="citation-161">
    <w:name w:val="citation-161"/>
    <w:basedOn w:val="DefaultParagraphFont"/>
    <w:rsid w:val="009F1655"/>
  </w:style>
  <w:style w:type="character" w:customStyle="1" w:styleId="citation-160">
    <w:name w:val="citation-160"/>
    <w:basedOn w:val="DefaultParagraphFont"/>
    <w:rsid w:val="009F1655"/>
  </w:style>
  <w:style w:type="character" w:customStyle="1" w:styleId="citation-159">
    <w:name w:val="citation-159"/>
    <w:basedOn w:val="DefaultParagraphFont"/>
    <w:rsid w:val="009F1655"/>
  </w:style>
  <w:style w:type="character" w:customStyle="1" w:styleId="citation-158">
    <w:name w:val="citation-158"/>
    <w:basedOn w:val="DefaultParagraphFont"/>
    <w:rsid w:val="009F1655"/>
  </w:style>
  <w:style w:type="character" w:customStyle="1" w:styleId="citation-157">
    <w:name w:val="citation-157"/>
    <w:basedOn w:val="DefaultParagraphFont"/>
    <w:rsid w:val="009F1655"/>
  </w:style>
  <w:style w:type="character" w:customStyle="1" w:styleId="citation-156">
    <w:name w:val="citation-156"/>
    <w:basedOn w:val="DefaultParagraphFont"/>
    <w:rsid w:val="009F1655"/>
  </w:style>
  <w:style w:type="character" w:customStyle="1" w:styleId="citation-155">
    <w:name w:val="citation-155"/>
    <w:basedOn w:val="DefaultParagraphFont"/>
    <w:rsid w:val="009F1655"/>
  </w:style>
  <w:style w:type="character" w:customStyle="1" w:styleId="citation-154">
    <w:name w:val="citation-154"/>
    <w:basedOn w:val="DefaultParagraphFont"/>
    <w:rsid w:val="009F1655"/>
  </w:style>
  <w:style w:type="character" w:customStyle="1" w:styleId="citation-153">
    <w:name w:val="citation-153"/>
    <w:basedOn w:val="DefaultParagraphFont"/>
    <w:rsid w:val="009F1655"/>
  </w:style>
  <w:style w:type="character" w:customStyle="1" w:styleId="citation-152">
    <w:name w:val="citation-152"/>
    <w:basedOn w:val="DefaultParagraphFont"/>
    <w:rsid w:val="009F1655"/>
  </w:style>
  <w:style w:type="character" w:customStyle="1" w:styleId="citation-151">
    <w:name w:val="citation-151"/>
    <w:basedOn w:val="DefaultParagraphFont"/>
    <w:rsid w:val="009F1655"/>
  </w:style>
  <w:style w:type="character" w:customStyle="1" w:styleId="citation-150">
    <w:name w:val="citation-150"/>
    <w:basedOn w:val="DefaultParagraphFont"/>
    <w:rsid w:val="009F1655"/>
  </w:style>
  <w:style w:type="character" w:customStyle="1" w:styleId="citation-149">
    <w:name w:val="citation-149"/>
    <w:basedOn w:val="DefaultParagraphFont"/>
    <w:rsid w:val="009F1655"/>
  </w:style>
  <w:style w:type="character" w:customStyle="1" w:styleId="citation-148">
    <w:name w:val="citation-148"/>
    <w:basedOn w:val="DefaultParagraphFont"/>
    <w:rsid w:val="009F1655"/>
  </w:style>
  <w:style w:type="character" w:customStyle="1" w:styleId="citation-147">
    <w:name w:val="citation-147"/>
    <w:basedOn w:val="DefaultParagraphFont"/>
    <w:rsid w:val="009F1655"/>
  </w:style>
  <w:style w:type="character" w:customStyle="1" w:styleId="citation-146">
    <w:name w:val="citation-146"/>
    <w:basedOn w:val="DefaultParagraphFont"/>
    <w:rsid w:val="009F1655"/>
  </w:style>
  <w:style w:type="character" w:customStyle="1" w:styleId="citation-145">
    <w:name w:val="citation-145"/>
    <w:basedOn w:val="DefaultParagraphFont"/>
    <w:rsid w:val="009F1655"/>
  </w:style>
  <w:style w:type="character" w:customStyle="1" w:styleId="citation-144">
    <w:name w:val="citation-144"/>
    <w:basedOn w:val="DefaultParagraphFont"/>
    <w:rsid w:val="009F1655"/>
  </w:style>
  <w:style w:type="character" w:customStyle="1" w:styleId="citation-265">
    <w:name w:val="citation-265"/>
    <w:basedOn w:val="DefaultParagraphFont"/>
    <w:rsid w:val="003C72E7"/>
  </w:style>
  <w:style w:type="character" w:customStyle="1" w:styleId="citation-264">
    <w:name w:val="citation-264"/>
    <w:basedOn w:val="DefaultParagraphFont"/>
    <w:rsid w:val="003C72E7"/>
  </w:style>
  <w:style w:type="character" w:customStyle="1" w:styleId="citation-263">
    <w:name w:val="citation-263"/>
    <w:basedOn w:val="DefaultParagraphFont"/>
    <w:rsid w:val="003C72E7"/>
  </w:style>
  <w:style w:type="character" w:customStyle="1" w:styleId="citation-262">
    <w:name w:val="citation-262"/>
    <w:basedOn w:val="DefaultParagraphFont"/>
    <w:rsid w:val="003C72E7"/>
  </w:style>
  <w:style w:type="character" w:customStyle="1" w:styleId="citation-261">
    <w:name w:val="citation-261"/>
    <w:basedOn w:val="DefaultParagraphFont"/>
    <w:rsid w:val="003C72E7"/>
  </w:style>
  <w:style w:type="character" w:customStyle="1" w:styleId="citation-260">
    <w:name w:val="citation-260"/>
    <w:basedOn w:val="DefaultParagraphFont"/>
    <w:rsid w:val="003C72E7"/>
  </w:style>
  <w:style w:type="character" w:customStyle="1" w:styleId="citation-259">
    <w:name w:val="citation-259"/>
    <w:basedOn w:val="DefaultParagraphFont"/>
    <w:rsid w:val="003C72E7"/>
  </w:style>
  <w:style w:type="character" w:customStyle="1" w:styleId="citation-258">
    <w:name w:val="citation-258"/>
    <w:basedOn w:val="DefaultParagraphFont"/>
    <w:rsid w:val="003C72E7"/>
  </w:style>
  <w:style w:type="character" w:customStyle="1" w:styleId="citation-257">
    <w:name w:val="citation-257"/>
    <w:basedOn w:val="DefaultParagraphFont"/>
    <w:rsid w:val="003C72E7"/>
  </w:style>
  <w:style w:type="character" w:customStyle="1" w:styleId="citation-256">
    <w:name w:val="citation-256"/>
    <w:basedOn w:val="DefaultParagraphFont"/>
    <w:rsid w:val="003C72E7"/>
  </w:style>
  <w:style w:type="character" w:customStyle="1" w:styleId="citation-255">
    <w:name w:val="citation-255"/>
    <w:basedOn w:val="DefaultParagraphFont"/>
    <w:rsid w:val="003C72E7"/>
  </w:style>
  <w:style w:type="character" w:customStyle="1" w:styleId="citation-254">
    <w:name w:val="citation-254"/>
    <w:basedOn w:val="DefaultParagraphFont"/>
    <w:rsid w:val="003C72E7"/>
  </w:style>
  <w:style w:type="character" w:customStyle="1" w:styleId="citation-253">
    <w:name w:val="citation-253"/>
    <w:basedOn w:val="DefaultParagraphFont"/>
    <w:rsid w:val="003C72E7"/>
  </w:style>
  <w:style w:type="character" w:customStyle="1" w:styleId="citation-252">
    <w:name w:val="citation-252"/>
    <w:basedOn w:val="DefaultParagraphFont"/>
    <w:rsid w:val="003C72E7"/>
  </w:style>
  <w:style w:type="character" w:customStyle="1" w:styleId="citation-251">
    <w:name w:val="citation-251"/>
    <w:basedOn w:val="DefaultParagraphFont"/>
    <w:rsid w:val="003C72E7"/>
  </w:style>
  <w:style w:type="character" w:customStyle="1" w:styleId="citation-250">
    <w:name w:val="citation-250"/>
    <w:basedOn w:val="DefaultParagraphFont"/>
    <w:rsid w:val="003C72E7"/>
  </w:style>
  <w:style w:type="character" w:customStyle="1" w:styleId="citation-249">
    <w:name w:val="citation-249"/>
    <w:basedOn w:val="DefaultParagraphFont"/>
    <w:rsid w:val="003C72E7"/>
  </w:style>
  <w:style w:type="character" w:customStyle="1" w:styleId="citation-248">
    <w:name w:val="citation-248"/>
    <w:basedOn w:val="DefaultParagraphFont"/>
    <w:rsid w:val="003C72E7"/>
  </w:style>
  <w:style w:type="character" w:customStyle="1" w:styleId="citation-247">
    <w:name w:val="citation-247"/>
    <w:basedOn w:val="DefaultParagraphFont"/>
    <w:rsid w:val="003C72E7"/>
  </w:style>
  <w:style w:type="paragraph" w:styleId="ListParagraph">
    <w:name w:val="List Paragraph"/>
    <w:basedOn w:val="Normal"/>
    <w:uiPriority w:val="34"/>
    <w:qFormat/>
    <w:rsid w:val="001807EF"/>
    <w:pPr>
      <w:ind w:left="720"/>
      <w:contextualSpacing/>
    </w:pPr>
  </w:style>
  <w:style w:type="character" w:customStyle="1" w:styleId="citation-334">
    <w:name w:val="citation-334"/>
    <w:basedOn w:val="DefaultParagraphFont"/>
    <w:rsid w:val="005147CD"/>
  </w:style>
  <w:style w:type="character" w:customStyle="1" w:styleId="citation-333">
    <w:name w:val="citation-333"/>
    <w:basedOn w:val="DefaultParagraphFont"/>
    <w:rsid w:val="005147CD"/>
  </w:style>
  <w:style w:type="character" w:customStyle="1" w:styleId="citation-332">
    <w:name w:val="citation-332"/>
    <w:basedOn w:val="DefaultParagraphFont"/>
    <w:rsid w:val="005147CD"/>
  </w:style>
  <w:style w:type="character" w:customStyle="1" w:styleId="citation-331">
    <w:name w:val="citation-331"/>
    <w:basedOn w:val="DefaultParagraphFont"/>
    <w:rsid w:val="005147CD"/>
  </w:style>
  <w:style w:type="character" w:customStyle="1" w:styleId="citation-330">
    <w:name w:val="citation-330"/>
    <w:basedOn w:val="DefaultParagraphFont"/>
    <w:rsid w:val="005147CD"/>
  </w:style>
  <w:style w:type="character" w:customStyle="1" w:styleId="citation-329">
    <w:name w:val="citation-329"/>
    <w:basedOn w:val="DefaultParagraphFont"/>
    <w:rsid w:val="005147CD"/>
  </w:style>
  <w:style w:type="character" w:customStyle="1" w:styleId="citation-328">
    <w:name w:val="citation-328"/>
    <w:basedOn w:val="DefaultParagraphFont"/>
    <w:rsid w:val="005147CD"/>
  </w:style>
  <w:style w:type="character" w:customStyle="1" w:styleId="citation-327">
    <w:name w:val="citation-327"/>
    <w:basedOn w:val="DefaultParagraphFont"/>
    <w:rsid w:val="005147CD"/>
  </w:style>
  <w:style w:type="character" w:customStyle="1" w:styleId="citation-326">
    <w:name w:val="citation-326"/>
    <w:basedOn w:val="DefaultParagraphFont"/>
    <w:rsid w:val="005147CD"/>
  </w:style>
  <w:style w:type="character" w:customStyle="1" w:styleId="citation-325">
    <w:name w:val="citation-325"/>
    <w:basedOn w:val="DefaultParagraphFont"/>
    <w:rsid w:val="005147CD"/>
  </w:style>
  <w:style w:type="character" w:customStyle="1" w:styleId="citation-324">
    <w:name w:val="citation-324"/>
    <w:basedOn w:val="DefaultParagraphFont"/>
    <w:rsid w:val="005147CD"/>
  </w:style>
  <w:style w:type="character" w:styleId="Hyperlink">
    <w:name w:val="Hyperlink"/>
    <w:basedOn w:val="DefaultParagraphFont"/>
    <w:qFormat/>
    <w:rsid w:val="006F7A60"/>
    <w:rPr>
      <w:color w:val="0563C1"/>
      <w:u w:val="single"/>
    </w:rPr>
  </w:style>
  <w:style w:type="paragraph" w:styleId="NoSpacing">
    <w:name w:val="No Spacing"/>
    <w:uiPriority w:val="1"/>
    <w:qFormat/>
    <w:rsid w:val="006641B8"/>
    <w:pPr>
      <w:spacing w:after="0" w:line="240" w:lineRule="auto"/>
    </w:pPr>
  </w:style>
  <w:style w:type="character" w:customStyle="1" w:styleId="citation-225">
    <w:name w:val="citation-225"/>
    <w:basedOn w:val="DefaultParagraphFont"/>
    <w:rsid w:val="00C40ECA"/>
  </w:style>
  <w:style w:type="paragraph" w:styleId="FootnoteText">
    <w:name w:val="footnote text"/>
    <w:basedOn w:val="Normal"/>
    <w:link w:val="FootnoteTextChar"/>
    <w:uiPriority w:val="99"/>
    <w:semiHidden/>
    <w:unhideWhenUsed/>
    <w:rsid w:val="00B349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499A"/>
    <w:rPr>
      <w:sz w:val="20"/>
      <w:szCs w:val="20"/>
    </w:rPr>
  </w:style>
  <w:style w:type="character" w:styleId="FootnoteReference">
    <w:name w:val="footnote reference"/>
    <w:basedOn w:val="DefaultParagraphFont"/>
    <w:uiPriority w:val="99"/>
    <w:semiHidden/>
    <w:unhideWhenUsed/>
    <w:rsid w:val="00B3499A"/>
    <w:rPr>
      <w:vertAlign w:val="superscript"/>
    </w:rPr>
  </w:style>
  <w:style w:type="character" w:styleId="FollowedHyperlink">
    <w:name w:val="FollowedHyperlink"/>
    <w:basedOn w:val="DefaultParagraphFont"/>
    <w:uiPriority w:val="99"/>
    <w:semiHidden/>
    <w:unhideWhenUsed/>
    <w:rsid w:val="0000498E"/>
    <w:rPr>
      <w:color w:val="954F72" w:themeColor="followedHyperlink"/>
      <w:u w:val="single"/>
    </w:rPr>
  </w:style>
  <w:style w:type="paragraph" w:customStyle="1" w:styleId="Default">
    <w:name w:val="Default"/>
    <w:rsid w:val="00F7508D"/>
    <w:pPr>
      <w:autoSpaceDE w:val="0"/>
      <w:autoSpaceDN w:val="0"/>
      <w:adjustRightInd w:val="0"/>
      <w:spacing w:after="0" w:line="240" w:lineRule="auto"/>
    </w:pPr>
    <w:rPr>
      <w:rFonts w:ascii="Arial" w:hAnsi="Arial" w:cs="Arial"/>
      <w:color w:val="000000"/>
      <w:sz w:val="24"/>
      <w:szCs w:val="24"/>
    </w:rPr>
  </w:style>
  <w:style w:type="table" w:styleId="PlainTable1">
    <w:name w:val="Plain Table 1"/>
    <w:basedOn w:val="TableNormal"/>
    <w:uiPriority w:val="41"/>
    <w:rsid w:val="00CE13E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9A2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550"/>
  </w:style>
  <w:style w:type="paragraph" w:styleId="Footer">
    <w:name w:val="footer"/>
    <w:basedOn w:val="Normal"/>
    <w:link w:val="FooterChar"/>
    <w:uiPriority w:val="99"/>
    <w:unhideWhenUsed/>
    <w:rsid w:val="009A2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550"/>
  </w:style>
  <w:style w:type="character" w:styleId="PageNumber">
    <w:name w:val="page number"/>
    <w:basedOn w:val="DefaultParagraphFont"/>
    <w:uiPriority w:val="99"/>
    <w:semiHidden/>
    <w:unhideWhenUsed/>
    <w:rsid w:val="009A2550"/>
  </w:style>
  <w:style w:type="character" w:customStyle="1" w:styleId="Heading2Char">
    <w:name w:val="Heading 2 Char"/>
    <w:basedOn w:val="DefaultParagraphFont"/>
    <w:link w:val="Heading2"/>
    <w:uiPriority w:val="9"/>
    <w:semiHidden/>
    <w:rsid w:val="00480B4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6764">
      <w:bodyDiv w:val="1"/>
      <w:marLeft w:val="0"/>
      <w:marRight w:val="0"/>
      <w:marTop w:val="0"/>
      <w:marBottom w:val="0"/>
      <w:divBdr>
        <w:top w:val="none" w:sz="0" w:space="0" w:color="auto"/>
        <w:left w:val="none" w:sz="0" w:space="0" w:color="auto"/>
        <w:bottom w:val="none" w:sz="0" w:space="0" w:color="auto"/>
        <w:right w:val="none" w:sz="0" w:space="0" w:color="auto"/>
      </w:divBdr>
    </w:div>
    <w:div w:id="116948445">
      <w:bodyDiv w:val="1"/>
      <w:marLeft w:val="0"/>
      <w:marRight w:val="0"/>
      <w:marTop w:val="0"/>
      <w:marBottom w:val="0"/>
      <w:divBdr>
        <w:top w:val="none" w:sz="0" w:space="0" w:color="auto"/>
        <w:left w:val="none" w:sz="0" w:space="0" w:color="auto"/>
        <w:bottom w:val="none" w:sz="0" w:space="0" w:color="auto"/>
        <w:right w:val="none" w:sz="0" w:space="0" w:color="auto"/>
      </w:divBdr>
    </w:div>
    <w:div w:id="265500482">
      <w:bodyDiv w:val="1"/>
      <w:marLeft w:val="0"/>
      <w:marRight w:val="0"/>
      <w:marTop w:val="0"/>
      <w:marBottom w:val="0"/>
      <w:divBdr>
        <w:top w:val="none" w:sz="0" w:space="0" w:color="auto"/>
        <w:left w:val="none" w:sz="0" w:space="0" w:color="auto"/>
        <w:bottom w:val="none" w:sz="0" w:space="0" w:color="auto"/>
        <w:right w:val="none" w:sz="0" w:space="0" w:color="auto"/>
      </w:divBdr>
      <w:divsChild>
        <w:div w:id="598224276">
          <w:marLeft w:val="547"/>
          <w:marRight w:val="0"/>
          <w:marTop w:val="0"/>
          <w:marBottom w:val="0"/>
          <w:divBdr>
            <w:top w:val="none" w:sz="0" w:space="0" w:color="auto"/>
            <w:left w:val="none" w:sz="0" w:space="0" w:color="auto"/>
            <w:bottom w:val="none" w:sz="0" w:space="0" w:color="auto"/>
            <w:right w:val="none" w:sz="0" w:space="0" w:color="auto"/>
          </w:divBdr>
        </w:div>
      </w:divsChild>
    </w:div>
    <w:div w:id="710224241">
      <w:bodyDiv w:val="1"/>
      <w:marLeft w:val="0"/>
      <w:marRight w:val="0"/>
      <w:marTop w:val="0"/>
      <w:marBottom w:val="0"/>
      <w:divBdr>
        <w:top w:val="none" w:sz="0" w:space="0" w:color="auto"/>
        <w:left w:val="none" w:sz="0" w:space="0" w:color="auto"/>
        <w:bottom w:val="none" w:sz="0" w:space="0" w:color="auto"/>
        <w:right w:val="none" w:sz="0" w:space="0" w:color="auto"/>
      </w:divBdr>
      <w:divsChild>
        <w:div w:id="2091928669">
          <w:marLeft w:val="504"/>
          <w:marRight w:val="0"/>
          <w:marTop w:val="140"/>
          <w:marBottom w:val="0"/>
          <w:divBdr>
            <w:top w:val="none" w:sz="0" w:space="0" w:color="auto"/>
            <w:left w:val="none" w:sz="0" w:space="0" w:color="auto"/>
            <w:bottom w:val="none" w:sz="0" w:space="0" w:color="auto"/>
            <w:right w:val="none" w:sz="0" w:space="0" w:color="auto"/>
          </w:divBdr>
        </w:div>
      </w:divsChild>
    </w:div>
    <w:div w:id="754934120">
      <w:bodyDiv w:val="1"/>
      <w:marLeft w:val="0"/>
      <w:marRight w:val="0"/>
      <w:marTop w:val="0"/>
      <w:marBottom w:val="0"/>
      <w:divBdr>
        <w:top w:val="none" w:sz="0" w:space="0" w:color="auto"/>
        <w:left w:val="none" w:sz="0" w:space="0" w:color="auto"/>
        <w:bottom w:val="none" w:sz="0" w:space="0" w:color="auto"/>
        <w:right w:val="none" w:sz="0" w:space="0" w:color="auto"/>
      </w:divBdr>
    </w:div>
    <w:div w:id="947005006">
      <w:bodyDiv w:val="1"/>
      <w:marLeft w:val="0"/>
      <w:marRight w:val="0"/>
      <w:marTop w:val="0"/>
      <w:marBottom w:val="0"/>
      <w:divBdr>
        <w:top w:val="none" w:sz="0" w:space="0" w:color="auto"/>
        <w:left w:val="none" w:sz="0" w:space="0" w:color="auto"/>
        <w:bottom w:val="none" w:sz="0" w:space="0" w:color="auto"/>
        <w:right w:val="none" w:sz="0" w:space="0" w:color="auto"/>
      </w:divBdr>
      <w:divsChild>
        <w:div w:id="1408697419">
          <w:marLeft w:val="547"/>
          <w:marRight w:val="0"/>
          <w:marTop w:val="0"/>
          <w:marBottom w:val="0"/>
          <w:divBdr>
            <w:top w:val="none" w:sz="0" w:space="0" w:color="auto"/>
            <w:left w:val="none" w:sz="0" w:space="0" w:color="auto"/>
            <w:bottom w:val="none" w:sz="0" w:space="0" w:color="auto"/>
            <w:right w:val="none" w:sz="0" w:space="0" w:color="auto"/>
          </w:divBdr>
        </w:div>
      </w:divsChild>
    </w:div>
    <w:div w:id="1275987286">
      <w:bodyDiv w:val="1"/>
      <w:marLeft w:val="0"/>
      <w:marRight w:val="0"/>
      <w:marTop w:val="0"/>
      <w:marBottom w:val="0"/>
      <w:divBdr>
        <w:top w:val="none" w:sz="0" w:space="0" w:color="auto"/>
        <w:left w:val="none" w:sz="0" w:space="0" w:color="auto"/>
        <w:bottom w:val="none" w:sz="0" w:space="0" w:color="auto"/>
        <w:right w:val="none" w:sz="0" w:space="0" w:color="auto"/>
      </w:divBdr>
      <w:divsChild>
        <w:div w:id="1960329628">
          <w:marLeft w:val="0"/>
          <w:marRight w:val="0"/>
          <w:marTop w:val="0"/>
          <w:marBottom w:val="0"/>
          <w:divBdr>
            <w:top w:val="none" w:sz="0" w:space="0" w:color="auto"/>
            <w:left w:val="none" w:sz="0" w:space="0" w:color="auto"/>
            <w:bottom w:val="none" w:sz="0" w:space="0" w:color="auto"/>
            <w:right w:val="none" w:sz="0" w:space="0" w:color="auto"/>
          </w:divBdr>
          <w:divsChild>
            <w:div w:id="1569415271">
              <w:marLeft w:val="0"/>
              <w:marRight w:val="0"/>
              <w:marTop w:val="0"/>
              <w:marBottom w:val="0"/>
              <w:divBdr>
                <w:top w:val="none" w:sz="0" w:space="0" w:color="auto"/>
                <w:left w:val="none" w:sz="0" w:space="0" w:color="auto"/>
                <w:bottom w:val="none" w:sz="0" w:space="0" w:color="auto"/>
                <w:right w:val="none" w:sz="0" w:space="0" w:color="auto"/>
              </w:divBdr>
            </w:div>
          </w:divsChild>
        </w:div>
        <w:div w:id="1292829518">
          <w:marLeft w:val="0"/>
          <w:marRight w:val="0"/>
          <w:marTop w:val="0"/>
          <w:marBottom w:val="0"/>
          <w:divBdr>
            <w:top w:val="none" w:sz="0" w:space="0" w:color="auto"/>
            <w:left w:val="none" w:sz="0" w:space="0" w:color="auto"/>
            <w:bottom w:val="none" w:sz="0" w:space="0" w:color="auto"/>
            <w:right w:val="none" w:sz="0" w:space="0" w:color="auto"/>
          </w:divBdr>
          <w:divsChild>
            <w:div w:id="374045073">
              <w:marLeft w:val="0"/>
              <w:marRight w:val="0"/>
              <w:marTop w:val="0"/>
              <w:marBottom w:val="0"/>
              <w:divBdr>
                <w:top w:val="none" w:sz="0" w:space="0" w:color="auto"/>
                <w:left w:val="none" w:sz="0" w:space="0" w:color="auto"/>
                <w:bottom w:val="none" w:sz="0" w:space="0" w:color="auto"/>
                <w:right w:val="none" w:sz="0" w:space="0" w:color="auto"/>
              </w:divBdr>
              <w:divsChild>
                <w:div w:id="966547046">
                  <w:marLeft w:val="0"/>
                  <w:marRight w:val="0"/>
                  <w:marTop w:val="0"/>
                  <w:marBottom w:val="0"/>
                  <w:divBdr>
                    <w:top w:val="none" w:sz="0" w:space="0" w:color="auto"/>
                    <w:left w:val="none" w:sz="0" w:space="0" w:color="auto"/>
                    <w:bottom w:val="none" w:sz="0" w:space="0" w:color="auto"/>
                    <w:right w:val="none" w:sz="0" w:space="0" w:color="auto"/>
                  </w:divBdr>
                  <w:divsChild>
                    <w:div w:id="411900822">
                      <w:marLeft w:val="0"/>
                      <w:marRight w:val="0"/>
                      <w:marTop w:val="0"/>
                      <w:marBottom w:val="0"/>
                      <w:divBdr>
                        <w:top w:val="none" w:sz="0" w:space="0" w:color="auto"/>
                        <w:left w:val="none" w:sz="0" w:space="0" w:color="auto"/>
                        <w:bottom w:val="none" w:sz="0" w:space="0" w:color="auto"/>
                        <w:right w:val="none" w:sz="0" w:space="0" w:color="auto"/>
                      </w:divBdr>
                    </w:div>
                    <w:div w:id="1129125711">
                      <w:marLeft w:val="0"/>
                      <w:marRight w:val="0"/>
                      <w:marTop w:val="0"/>
                      <w:marBottom w:val="0"/>
                      <w:divBdr>
                        <w:top w:val="none" w:sz="0" w:space="0" w:color="auto"/>
                        <w:left w:val="none" w:sz="0" w:space="0" w:color="auto"/>
                        <w:bottom w:val="none" w:sz="0" w:space="0" w:color="auto"/>
                        <w:right w:val="none" w:sz="0" w:space="0" w:color="auto"/>
                      </w:divBdr>
                    </w:div>
                    <w:div w:id="1366978543">
                      <w:marLeft w:val="0"/>
                      <w:marRight w:val="0"/>
                      <w:marTop w:val="0"/>
                      <w:marBottom w:val="0"/>
                      <w:divBdr>
                        <w:top w:val="none" w:sz="0" w:space="0" w:color="auto"/>
                        <w:left w:val="none" w:sz="0" w:space="0" w:color="auto"/>
                        <w:bottom w:val="none" w:sz="0" w:space="0" w:color="auto"/>
                        <w:right w:val="none" w:sz="0" w:space="0" w:color="auto"/>
                      </w:divBdr>
                    </w:div>
                    <w:div w:id="1610506590">
                      <w:marLeft w:val="0"/>
                      <w:marRight w:val="0"/>
                      <w:marTop w:val="0"/>
                      <w:marBottom w:val="0"/>
                      <w:divBdr>
                        <w:top w:val="none" w:sz="0" w:space="0" w:color="auto"/>
                        <w:left w:val="none" w:sz="0" w:space="0" w:color="auto"/>
                        <w:bottom w:val="none" w:sz="0" w:space="0" w:color="auto"/>
                        <w:right w:val="none" w:sz="0" w:space="0" w:color="auto"/>
                      </w:divBdr>
                    </w:div>
                    <w:div w:id="2041977146">
                      <w:marLeft w:val="0"/>
                      <w:marRight w:val="0"/>
                      <w:marTop w:val="0"/>
                      <w:marBottom w:val="0"/>
                      <w:divBdr>
                        <w:top w:val="none" w:sz="0" w:space="0" w:color="auto"/>
                        <w:left w:val="none" w:sz="0" w:space="0" w:color="auto"/>
                        <w:bottom w:val="none" w:sz="0" w:space="0" w:color="auto"/>
                        <w:right w:val="none" w:sz="0" w:space="0" w:color="auto"/>
                      </w:divBdr>
                    </w:div>
                    <w:div w:id="1200512180">
                      <w:marLeft w:val="0"/>
                      <w:marRight w:val="0"/>
                      <w:marTop w:val="0"/>
                      <w:marBottom w:val="0"/>
                      <w:divBdr>
                        <w:top w:val="none" w:sz="0" w:space="0" w:color="auto"/>
                        <w:left w:val="none" w:sz="0" w:space="0" w:color="auto"/>
                        <w:bottom w:val="none" w:sz="0" w:space="0" w:color="auto"/>
                        <w:right w:val="none" w:sz="0" w:space="0" w:color="auto"/>
                      </w:divBdr>
                    </w:div>
                    <w:div w:id="415790814">
                      <w:marLeft w:val="0"/>
                      <w:marRight w:val="0"/>
                      <w:marTop w:val="0"/>
                      <w:marBottom w:val="0"/>
                      <w:divBdr>
                        <w:top w:val="none" w:sz="0" w:space="0" w:color="auto"/>
                        <w:left w:val="none" w:sz="0" w:space="0" w:color="auto"/>
                        <w:bottom w:val="none" w:sz="0" w:space="0" w:color="auto"/>
                        <w:right w:val="none" w:sz="0" w:space="0" w:color="auto"/>
                      </w:divBdr>
                    </w:div>
                    <w:div w:id="1192232730">
                      <w:marLeft w:val="0"/>
                      <w:marRight w:val="0"/>
                      <w:marTop w:val="0"/>
                      <w:marBottom w:val="0"/>
                      <w:divBdr>
                        <w:top w:val="none" w:sz="0" w:space="0" w:color="auto"/>
                        <w:left w:val="none" w:sz="0" w:space="0" w:color="auto"/>
                        <w:bottom w:val="none" w:sz="0" w:space="0" w:color="auto"/>
                        <w:right w:val="none" w:sz="0" w:space="0" w:color="auto"/>
                      </w:divBdr>
                    </w:div>
                    <w:div w:id="1125192930">
                      <w:marLeft w:val="0"/>
                      <w:marRight w:val="0"/>
                      <w:marTop w:val="0"/>
                      <w:marBottom w:val="0"/>
                      <w:divBdr>
                        <w:top w:val="none" w:sz="0" w:space="0" w:color="auto"/>
                        <w:left w:val="none" w:sz="0" w:space="0" w:color="auto"/>
                        <w:bottom w:val="none" w:sz="0" w:space="0" w:color="auto"/>
                        <w:right w:val="none" w:sz="0" w:space="0" w:color="auto"/>
                      </w:divBdr>
                    </w:div>
                    <w:div w:id="1212301840">
                      <w:marLeft w:val="0"/>
                      <w:marRight w:val="0"/>
                      <w:marTop w:val="0"/>
                      <w:marBottom w:val="0"/>
                      <w:divBdr>
                        <w:top w:val="none" w:sz="0" w:space="0" w:color="auto"/>
                        <w:left w:val="none" w:sz="0" w:space="0" w:color="auto"/>
                        <w:bottom w:val="none" w:sz="0" w:space="0" w:color="auto"/>
                        <w:right w:val="none" w:sz="0" w:space="0" w:color="auto"/>
                      </w:divBdr>
                    </w:div>
                    <w:div w:id="1765031058">
                      <w:marLeft w:val="0"/>
                      <w:marRight w:val="0"/>
                      <w:marTop w:val="0"/>
                      <w:marBottom w:val="0"/>
                      <w:divBdr>
                        <w:top w:val="none" w:sz="0" w:space="0" w:color="auto"/>
                        <w:left w:val="none" w:sz="0" w:space="0" w:color="auto"/>
                        <w:bottom w:val="none" w:sz="0" w:space="0" w:color="auto"/>
                        <w:right w:val="none" w:sz="0" w:space="0" w:color="auto"/>
                      </w:divBdr>
                    </w:div>
                    <w:div w:id="369648692">
                      <w:marLeft w:val="0"/>
                      <w:marRight w:val="0"/>
                      <w:marTop w:val="0"/>
                      <w:marBottom w:val="0"/>
                      <w:divBdr>
                        <w:top w:val="none" w:sz="0" w:space="0" w:color="auto"/>
                        <w:left w:val="none" w:sz="0" w:space="0" w:color="auto"/>
                        <w:bottom w:val="none" w:sz="0" w:space="0" w:color="auto"/>
                        <w:right w:val="none" w:sz="0" w:space="0" w:color="auto"/>
                      </w:divBdr>
                    </w:div>
                    <w:div w:id="117704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158126">
      <w:bodyDiv w:val="1"/>
      <w:marLeft w:val="0"/>
      <w:marRight w:val="0"/>
      <w:marTop w:val="0"/>
      <w:marBottom w:val="0"/>
      <w:divBdr>
        <w:top w:val="none" w:sz="0" w:space="0" w:color="auto"/>
        <w:left w:val="none" w:sz="0" w:space="0" w:color="auto"/>
        <w:bottom w:val="none" w:sz="0" w:space="0" w:color="auto"/>
        <w:right w:val="none" w:sz="0" w:space="0" w:color="auto"/>
      </w:divBdr>
    </w:div>
    <w:div w:id="1472399754">
      <w:bodyDiv w:val="1"/>
      <w:marLeft w:val="0"/>
      <w:marRight w:val="0"/>
      <w:marTop w:val="0"/>
      <w:marBottom w:val="0"/>
      <w:divBdr>
        <w:top w:val="none" w:sz="0" w:space="0" w:color="auto"/>
        <w:left w:val="none" w:sz="0" w:space="0" w:color="auto"/>
        <w:bottom w:val="none" w:sz="0" w:space="0" w:color="auto"/>
        <w:right w:val="none" w:sz="0" w:space="0" w:color="auto"/>
      </w:divBdr>
    </w:div>
    <w:div w:id="1666204039">
      <w:bodyDiv w:val="1"/>
      <w:marLeft w:val="0"/>
      <w:marRight w:val="0"/>
      <w:marTop w:val="0"/>
      <w:marBottom w:val="0"/>
      <w:divBdr>
        <w:top w:val="none" w:sz="0" w:space="0" w:color="auto"/>
        <w:left w:val="none" w:sz="0" w:space="0" w:color="auto"/>
        <w:bottom w:val="none" w:sz="0" w:space="0" w:color="auto"/>
        <w:right w:val="none" w:sz="0" w:space="0" w:color="auto"/>
      </w:divBdr>
    </w:div>
    <w:div w:id="1680306885">
      <w:bodyDiv w:val="1"/>
      <w:marLeft w:val="0"/>
      <w:marRight w:val="0"/>
      <w:marTop w:val="0"/>
      <w:marBottom w:val="0"/>
      <w:divBdr>
        <w:top w:val="none" w:sz="0" w:space="0" w:color="auto"/>
        <w:left w:val="none" w:sz="0" w:space="0" w:color="auto"/>
        <w:bottom w:val="none" w:sz="0" w:space="0" w:color="auto"/>
        <w:right w:val="none" w:sz="0" w:space="0" w:color="auto"/>
      </w:divBdr>
      <w:divsChild>
        <w:div w:id="1136265466">
          <w:marLeft w:val="547"/>
          <w:marRight w:val="0"/>
          <w:marTop w:val="0"/>
          <w:marBottom w:val="0"/>
          <w:divBdr>
            <w:top w:val="none" w:sz="0" w:space="0" w:color="auto"/>
            <w:left w:val="none" w:sz="0" w:space="0" w:color="auto"/>
            <w:bottom w:val="none" w:sz="0" w:space="0" w:color="auto"/>
            <w:right w:val="none" w:sz="0" w:space="0" w:color="auto"/>
          </w:divBdr>
        </w:div>
      </w:divsChild>
    </w:div>
    <w:div w:id="1833984101">
      <w:bodyDiv w:val="1"/>
      <w:marLeft w:val="0"/>
      <w:marRight w:val="0"/>
      <w:marTop w:val="0"/>
      <w:marBottom w:val="0"/>
      <w:divBdr>
        <w:top w:val="none" w:sz="0" w:space="0" w:color="auto"/>
        <w:left w:val="none" w:sz="0" w:space="0" w:color="auto"/>
        <w:bottom w:val="none" w:sz="0" w:space="0" w:color="auto"/>
        <w:right w:val="none" w:sz="0" w:space="0" w:color="auto"/>
      </w:divBdr>
      <w:divsChild>
        <w:div w:id="1162357883">
          <w:marLeft w:val="547"/>
          <w:marRight w:val="0"/>
          <w:marTop w:val="0"/>
          <w:marBottom w:val="0"/>
          <w:divBdr>
            <w:top w:val="none" w:sz="0" w:space="0" w:color="auto"/>
            <w:left w:val="none" w:sz="0" w:space="0" w:color="auto"/>
            <w:bottom w:val="none" w:sz="0" w:space="0" w:color="auto"/>
            <w:right w:val="none" w:sz="0" w:space="0" w:color="auto"/>
          </w:divBdr>
        </w:div>
      </w:divsChild>
    </w:div>
    <w:div w:id="2009750886">
      <w:bodyDiv w:val="1"/>
      <w:marLeft w:val="0"/>
      <w:marRight w:val="0"/>
      <w:marTop w:val="0"/>
      <w:marBottom w:val="0"/>
      <w:divBdr>
        <w:top w:val="none" w:sz="0" w:space="0" w:color="auto"/>
        <w:left w:val="none" w:sz="0" w:space="0" w:color="auto"/>
        <w:bottom w:val="none" w:sz="0" w:space="0" w:color="auto"/>
        <w:right w:val="none" w:sz="0" w:space="0" w:color="auto"/>
      </w:divBdr>
      <w:divsChild>
        <w:div w:id="268196156">
          <w:marLeft w:val="504"/>
          <w:marRight w:val="0"/>
          <w:marTop w:val="1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2.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0" Type="http://schemas.openxmlformats.org/officeDocument/2006/relationships/hyperlink" Target="http://www.au.int" TargetMode="External"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8E131-D9D3-464B-B255-DAC5BBE36E4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1527</Words>
  <Characters>8706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Emem Omokaro</cp:lastModifiedBy>
  <cp:revision>2</cp:revision>
  <dcterms:created xsi:type="dcterms:W3CDTF">2026-09-12T04:08:00Z</dcterms:created>
  <dcterms:modified xsi:type="dcterms:W3CDTF">2026-09-12T04:08:00Z</dcterms:modified>
</cp:coreProperties>
</file>